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E84B" w14:textId="77777777" w:rsidR="00B7176A" w:rsidRDefault="00B7176A" w:rsidP="00B7176A">
      <w:pPr>
        <w:rPr>
          <w:lang w:val="hr-HR"/>
        </w:rPr>
      </w:pPr>
      <w:bookmarkStart w:id="0" w:name="_GoBack"/>
      <w:bookmarkEnd w:id="0"/>
    </w:p>
    <w:p w14:paraId="7CA5E84C" w14:textId="77777777" w:rsidR="00B7176A" w:rsidRDefault="00B7176A" w:rsidP="00B7176A">
      <w:pPr>
        <w:rPr>
          <w:lang w:val="hr-HR"/>
        </w:rPr>
      </w:pPr>
    </w:p>
    <w:p w14:paraId="7CA5E84D" w14:textId="77777777" w:rsidR="00B7176A" w:rsidRDefault="00B7176A" w:rsidP="00B7176A">
      <w:pPr>
        <w:rPr>
          <w:lang w:val="hr-HR"/>
        </w:rPr>
      </w:pPr>
    </w:p>
    <w:p w14:paraId="7CA5E84E" w14:textId="77777777" w:rsidR="00B7176A" w:rsidRDefault="00B7176A" w:rsidP="00B7176A">
      <w:pPr>
        <w:rPr>
          <w:lang w:val="hr-HR"/>
        </w:rPr>
      </w:pPr>
    </w:p>
    <w:p w14:paraId="7CA5E84F" w14:textId="77777777" w:rsidR="00B7176A" w:rsidRDefault="00B7176A" w:rsidP="00B7176A">
      <w:pPr>
        <w:rPr>
          <w:lang w:val="hr-HR"/>
        </w:rPr>
      </w:pPr>
    </w:p>
    <w:p w14:paraId="7CA5E850" w14:textId="77777777" w:rsidR="00B7176A" w:rsidRDefault="00B7176A" w:rsidP="00B7176A">
      <w:pPr>
        <w:rPr>
          <w:lang w:val="hr-HR"/>
        </w:rPr>
      </w:pPr>
    </w:p>
    <w:p w14:paraId="7CA5E851" w14:textId="77777777" w:rsidR="00B7176A" w:rsidRDefault="00B7176A" w:rsidP="00B7176A">
      <w:pPr>
        <w:rPr>
          <w:lang w:val="hr-HR"/>
        </w:rPr>
      </w:pPr>
    </w:p>
    <w:p w14:paraId="7CA5E852" w14:textId="77777777" w:rsidR="00B7176A" w:rsidRDefault="00B7176A" w:rsidP="00B7176A">
      <w:pPr>
        <w:rPr>
          <w:lang w:val="hr-HR"/>
        </w:rPr>
      </w:pPr>
    </w:p>
    <w:p w14:paraId="7CA5E853" w14:textId="77777777" w:rsidR="00B7176A" w:rsidRDefault="00B7176A" w:rsidP="00B7176A">
      <w:pPr>
        <w:rPr>
          <w:lang w:val="hr-HR"/>
        </w:rPr>
      </w:pPr>
    </w:p>
    <w:p w14:paraId="7CA5E854" w14:textId="77777777" w:rsidR="00B7176A" w:rsidRPr="00B7176A" w:rsidRDefault="00B7176A" w:rsidP="006B095D">
      <w:pPr>
        <w:pStyle w:val="Naslov1"/>
        <w:jc w:val="center"/>
        <w:rPr>
          <w:lang w:val="hr-HR"/>
        </w:rPr>
      </w:pPr>
    </w:p>
    <w:p w14:paraId="7CA5E855" w14:textId="681BAE22" w:rsidR="009D40A0" w:rsidRPr="006B095D" w:rsidRDefault="0057610C" w:rsidP="006B095D">
      <w:pPr>
        <w:pStyle w:val="Naslov1"/>
        <w:jc w:val="center"/>
        <w:rPr>
          <w:sz w:val="40"/>
          <w:szCs w:val="40"/>
          <w:lang w:val="hr-HR"/>
        </w:rPr>
      </w:pPr>
      <w:r w:rsidRPr="006B095D">
        <w:rPr>
          <w:sz w:val="40"/>
          <w:szCs w:val="40"/>
          <w:lang w:val="hr-HR"/>
        </w:rPr>
        <w:t xml:space="preserve">IZVJEŠTAJ O PRIMJENI FISKALNIH PRAVILA </w:t>
      </w:r>
      <w:r w:rsidR="003B4D07" w:rsidRPr="006B095D">
        <w:rPr>
          <w:sz w:val="40"/>
          <w:szCs w:val="40"/>
          <w:lang w:val="hr-HR"/>
        </w:rPr>
        <w:br/>
      </w:r>
      <w:r w:rsidRPr="006B095D">
        <w:rPr>
          <w:sz w:val="40"/>
          <w:szCs w:val="40"/>
          <w:lang w:val="hr-HR"/>
        </w:rPr>
        <w:t xml:space="preserve">UZ PRIJEDLOG GODIŠNJEG IZVJEŠTAJA </w:t>
      </w:r>
      <w:r w:rsidR="003B4D07" w:rsidRPr="006B095D">
        <w:rPr>
          <w:sz w:val="40"/>
          <w:szCs w:val="40"/>
          <w:lang w:val="hr-HR"/>
        </w:rPr>
        <w:br/>
      </w:r>
      <w:r w:rsidRPr="006B095D">
        <w:rPr>
          <w:sz w:val="40"/>
          <w:szCs w:val="40"/>
          <w:lang w:val="hr-HR"/>
        </w:rPr>
        <w:t xml:space="preserve">O IZVRŠENJU PRORAČUNA </w:t>
      </w:r>
      <w:r w:rsidR="00C87DC3" w:rsidRPr="006B095D">
        <w:rPr>
          <w:sz w:val="40"/>
          <w:szCs w:val="40"/>
          <w:lang w:val="hr-HR"/>
        </w:rPr>
        <w:br/>
      </w:r>
      <w:r w:rsidR="007D3694" w:rsidRPr="006B095D">
        <w:rPr>
          <w:sz w:val="40"/>
          <w:szCs w:val="40"/>
          <w:lang w:val="hr-HR"/>
        </w:rPr>
        <w:t>ZA 201</w:t>
      </w:r>
      <w:r w:rsidR="00E96920" w:rsidRPr="006B095D">
        <w:rPr>
          <w:sz w:val="40"/>
          <w:szCs w:val="40"/>
          <w:lang w:val="hr-HR"/>
        </w:rPr>
        <w:t>9</w:t>
      </w:r>
      <w:r w:rsidR="007D3694" w:rsidRPr="006B095D">
        <w:rPr>
          <w:sz w:val="40"/>
          <w:szCs w:val="40"/>
          <w:lang w:val="hr-HR"/>
        </w:rPr>
        <w:t>. GODINU</w:t>
      </w:r>
    </w:p>
    <w:p w14:paraId="7CA5E856" w14:textId="77777777" w:rsidR="00B7176A" w:rsidRPr="007D3694" w:rsidRDefault="00B7176A" w:rsidP="006B095D">
      <w:pPr>
        <w:pStyle w:val="Naslov1"/>
        <w:jc w:val="center"/>
        <w:rPr>
          <w:sz w:val="36"/>
          <w:szCs w:val="36"/>
          <w:lang w:val="hr-HR"/>
        </w:rPr>
      </w:pPr>
      <w:r w:rsidRPr="007D3694">
        <w:rPr>
          <w:sz w:val="36"/>
          <w:szCs w:val="36"/>
          <w:lang w:val="hr-HR"/>
        </w:rPr>
        <w:br w:type="page"/>
      </w:r>
    </w:p>
    <w:p w14:paraId="7CA5E857" w14:textId="6A86A145" w:rsidR="004456E7" w:rsidRDefault="00610379" w:rsidP="002E5CA2">
      <w:pPr>
        <w:jc w:val="both"/>
        <w:rPr>
          <w:lang w:val="hr-HR"/>
        </w:rPr>
      </w:pPr>
      <w:r w:rsidRPr="00B7176A">
        <w:rPr>
          <w:lang w:val="hr-HR"/>
        </w:rPr>
        <w:lastRenderedPageBreak/>
        <w:t>Zakonom o fiskalnoj odgovornosti</w:t>
      </w:r>
      <w:r w:rsidR="00B7176A">
        <w:rPr>
          <w:rStyle w:val="Referencafusnote"/>
          <w:lang w:val="hr-HR"/>
        </w:rPr>
        <w:footnoteReference w:id="1"/>
      </w:r>
      <w:r w:rsidR="004F3814" w:rsidRPr="00B7176A">
        <w:rPr>
          <w:lang w:val="hr-HR"/>
        </w:rPr>
        <w:t>,</w:t>
      </w:r>
      <w:r w:rsidRPr="00B7176A">
        <w:rPr>
          <w:lang w:val="hr-HR"/>
        </w:rPr>
        <w:t xml:space="preserve"> koji je stupi</w:t>
      </w:r>
      <w:r w:rsidR="004F3814" w:rsidRPr="00B7176A">
        <w:rPr>
          <w:lang w:val="hr-HR"/>
        </w:rPr>
        <w:t>o</w:t>
      </w:r>
      <w:r w:rsidRPr="00B7176A">
        <w:rPr>
          <w:lang w:val="hr-HR"/>
        </w:rPr>
        <w:t xml:space="preserve"> na snagu početkom </w:t>
      </w:r>
      <w:r w:rsidRPr="00E87AB6">
        <w:rPr>
          <w:lang w:val="hr-HR"/>
        </w:rPr>
        <w:t>2019.</w:t>
      </w:r>
      <w:r w:rsidR="004F3814" w:rsidRPr="00E87AB6">
        <w:rPr>
          <w:lang w:val="hr-HR"/>
        </w:rPr>
        <w:t>,</w:t>
      </w:r>
      <w:r w:rsidRPr="00E87AB6">
        <w:rPr>
          <w:lang w:val="hr-HR"/>
        </w:rPr>
        <w:t xml:space="preserve"> nacionalna fiskalna pravila za RH usklađ</w:t>
      </w:r>
      <w:r w:rsidR="009C0771" w:rsidRPr="00E87AB6">
        <w:rPr>
          <w:lang w:val="hr-HR"/>
        </w:rPr>
        <w:t>ena</w:t>
      </w:r>
      <w:r w:rsidRPr="00E87AB6">
        <w:rPr>
          <w:lang w:val="hr-HR"/>
        </w:rPr>
        <w:t xml:space="preserve"> </w:t>
      </w:r>
      <w:r w:rsidR="006009A9" w:rsidRPr="00E87AB6">
        <w:rPr>
          <w:lang w:val="hr-HR"/>
        </w:rPr>
        <w:t xml:space="preserve">su </w:t>
      </w:r>
      <w:r w:rsidRPr="00E87AB6">
        <w:rPr>
          <w:lang w:val="hr-HR"/>
        </w:rPr>
        <w:t xml:space="preserve">s odredbama Pakta o stabilnosti i rastu </w:t>
      </w:r>
      <w:r w:rsidR="00144310" w:rsidRPr="00E87AB6">
        <w:rPr>
          <w:lang w:val="hr-HR"/>
        </w:rPr>
        <w:t>EU</w:t>
      </w:r>
      <w:r w:rsidRPr="00E87AB6">
        <w:rPr>
          <w:lang w:val="hr-HR"/>
        </w:rPr>
        <w:t>.</w:t>
      </w:r>
      <w:r w:rsidR="004F3814" w:rsidRPr="00E87AB6">
        <w:rPr>
          <w:lang w:val="hr-HR"/>
        </w:rPr>
        <w:t xml:space="preserve"> </w:t>
      </w:r>
      <w:r w:rsidR="000575EB" w:rsidRPr="00E87AB6">
        <w:rPr>
          <w:lang w:val="hr-HR"/>
        </w:rPr>
        <w:t>Zakonom</w:t>
      </w:r>
      <w:r w:rsidR="0031086D" w:rsidRPr="00B7176A">
        <w:rPr>
          <w:lang w:val="hr-HR"/>
        </w:rPr>
        <w:t xml:space="preserve"> su</w:t>
      </w:r>
      <w:r w:rsidRPr="00B7176A">
        <w:rPr>
          <w:lang w:val="hr-HR"/>
        </w:rPr>
        <w:t xml:space="preserve"> utvrđena</w:t>
      </w:r>
      <w:r w:rsidR="004F3814" w:rsidRPr="00B7176A">
        <w:rPr>
          <w:lang w:val="hr-HR"/>
        </w:rPr>
        <w:t xml:space="preserve"> </w:t>
      </w:r>
      <w:r w:rsidR="000575EB" w:rsidRPr="00B7176A">
        <w:rPr>
          <w:lang w:val="hr-HR"/>
        </w:rPr>
        <w:t xml:space="preserve">tri </w:t>
      </w:r>
      <w:r w:rsidRPr="00B7176A">
        <w:rPr>
          <w:lang w:val="hr-HR"/>
        </w:rPr>
        <w:t xml:space="preserve">fiskalna pravila koja </w:t>
      </w:r>
      <w:r w:rsidR="00472B3B" w:rsidRPr="00B7176A">
        <w:rPr>
          <w:lang w:val="hr-HR"/>
        </w:rPr>
        <w:t>se odnose na</w:t>
      </w:r>
      <w:r w:rsidR="004456E7" w:rsidRPr="00B7176A">
        <w:rPr>
          <w:lang w:val="hr-HR"/>
        </w:rPr>
        <w:t xml:space="preserve"> pravilo strukturnog salda</w:t>
      </w:r>
      <w:r w:rsidR="007E0327" w:rsidRPr="00B7176A">
        <w:rPr>
          <w:lang w:val="hr-HR"/>
        </w:rPr>
        <w:t xml:space="preserve">, </w:t>
      </w:r>
      <w:r w:rsidR="004456E7" w:rsidRPr="00B7176A">
        <w:rPr>
          <w:lang w:val="hr-HR"/>
        </w:rPr>
        <w:t>pravilo rashoda</w:t>
      </w:r>
      <w:r w:rsidR="007E0327" w:rsidRPr="00B7176A">
        <w:rPr>
          <w:lang w:val="hr-HR"/>
        </w:rPr>
        <w:t xml:space="preserve"> i pravilo javnog duga</w:t>
      </w:r>
      <w:r w:rsidR="004456E7" w:rsidRPr="00B7176A">
        <w:rPr>
          <w:lang w:val="hr-HR"/>
        </w:rPr>
        <w:t xml:space="preserve">. </w:t>
      </w:r>
      <w:r w:rsidR="007D3694" w:rsidRPr="00E87AB6">
        <w:rPr>
          <w:lang w:val="hr-HR"/>
        </w:rPr>
        <w:t>Sukladno članku 2</w:t>
      </w:r>
      <w:r w:rsidR="0001730D" w:rsidRPr="00E87AB6">
        <w:rPr>
          <w:lang w:val="hr-HR"/>
        </w:rPr>
        <w:t>5</w:t>
      </w:r>
      <w:r w:rsidR="007D3694" w:rsidRPr="00E87AB6">
        <w:rPr>
          <w:lang w:val="hr-HR"/>
        </w:rPr>
        <w:t>. Uredbe o sastavljanju i predaji Izjave o fiskalnoj odgovornosti i Izvještaja o primjeni fiskalnih pravila</w:t>
      </w:r>
      <w:r w:rsidR="00DC3274" w:rsidRPr="00E87AB6">
        <w:rPr>
          <w:rStyle w:val="Referencafusnote"/>
          <w:lang w:val="hr-HR"/>
        </w:rPr>
        <w:footnoteReference w:id="2"/>
      </w:r>
      <w:r w:rsidR="007D3694" w:rsidRPr="00E87AB6">
        <w:rPr>
          <w:lang w:val="hr-HR"/>
        </w:rPr>
        <w:t>, u Izvještaju o primjeni fiskalnih pravila uz</w:t>
      </w:r>
      <w:r w:rsidR="009775C8" w:rsidRPr="00E87AB6">
        <w:rPr>
          <w:lang w:val="hr-HR"/>
        </w:rPr>
        <w:t xml:space="preserve"> prijedlog godišnjeg izvještaja o izvršenju proračuna</w:t>
      </w:r>
      <w:r w:rsidR="007D3694" w:rsidRPr="00E87AB6">
        <w:rPr>
          <w:lang w:val="hr-HR"/>
        </w:rPr>
        <w:t xml:space="preserve">, utvrđuje se kako su </w:t>
      </w:r>
      <w:r w:rsidR="00B833C4" w:rsidRPr="00E87AB6">
        <w:rPr>
          <w:lang w:val="hr-HR"/>
        </w:rPr>
        <w:t xml:space="preserve">pravila strukturnog salda, rashoda i javnog duga </w:t>
      </w:r>
      <w:r w:rsidR="007D3694" w:rsidRPr="00E87AB6">
        <w:rPr>
          <w:lang w:val="hr-HR"/>
        </w:rPr>
        <w:t xml:space="preserve">primijenjena </w:t>
      </w:r>
      <w:r w:rsidR="00B833C4" w:rsidRPr="00E87AB6">
        <w:rPr>
          <w:lang w:val="hr-HR"/>
        </w:rPr>
        <w:t xml:space="preserve">u </w:t>
      </w:r>
      <w:r w:rsidR="00DB24DF" w:rsidRPr="00E87AB6">
        <w:rPr>
          <w:lang w:val="hr-HR"/>
        </w:rPr>
        <w:t>prethodn</w:t>
      </w:r>
      <w:r w:rsidR="00B833C4" w:rsidRPr="00E87AB6">
        <w:rPr>
          <w:lang w:val="hr-HR"/>
        </w:rPr>
        <w:t>oj</w:t>
      </w:r>
      <w:r w:rsidR="007D3694" w:rsidRPr="00E87AB6">
        <w:rPr>
          <w:lang w:val="hr-HR"/>
        </w:rPr>
        <w:t xml:space="preserve"> proračunsk</w:t>
      </w:r>
      <w:r w:rsidR="00B833C4" w:rsidRPr="00E87AB6">
        <w:rPr>
          <w:lang w:val="hr-HR"/>
        </w:rPr>
        <w:t>oj</w:t>
      </w:r>
      <w:r w:rsidR="007D3694" w:rsidRPr="00E87AB6">
        <w:rPr>
          <w:lang w:val="hr-HR"/>
        </w:rPr>
        <w:t xml:space="preserve"> godin</w:t>
      </w:r>
      <w:r w:rsidR="00B833C4" w:rsidRPr="00E87AB6">
        <w:rPr>
          <w:lang w:val="hr-HR"/>
        </w:rPr>
        <w:t>i</w:t>
      </w:r>
      <w:r w:rsidR="007D3694" w:rsidRPr="00E87AB6">
        <w:rPr>
          <w:lang w:val="hr-HR"/>
        </w:rPr>
        <w:t>.</w:t>
      </w:r>
    </w:p>
    <w:p w14:paraId="632F1067" w14:textId="1F951FC7" w:rsidR="007C50B7" w:rsidRPr="00D668AB" w:rsidRDefault="007C50B7" w:rsidP="00D668AB">
      <w:pPr>
        <w:spacing w:after="240"/>
        <w:jc w:val="both"/>
        <w:rPr>
          <w:lang w:val="hr-HR"/>
        </w:rPr>
      </w:pPr>
    </w:p>
    <w:p w14:paraId="7CA5E859" w14:textId="2284FEC8" w:rsidR="003B5C0A" w:rsidRPr="006B095D" w:rsidRDefault="003B5C0A" w:rsidP="006B095D">
      <w:pPr>
        <w:pStyle w:val="Naslov2"/>
        <w:rPr>
          <w:sz w:val="24"/>
          <w:szCs w:val="24"/>
          <w:lang w:val="hr-HR"/>
        </w:rPr>
      </w:pPr>
      <w:r w:rsidRPr="006B095D">
        <w:rPr>
          <w:sz w:val="24"/>
          <w:szCs w:val="24"/>
          <w:lang w:val="hr-HR"/>
        </w:rPr>
        <w:t>PRAVILO STRUKTURNOG SALDA</w:t>
      </w:r>
      <w:r w:rsidR="002A3E9C" w:rsidRPr="006B095D">
        <w:rPr>
          <w:sz w:val="24"/>
          <w:szCs w:val="24"/>
          <w:lang w:val="hr-HR"/>
        </w:rPr>
        <w:t xml:space="preserve"> </w:t>
      </w:r>
    </w:p>
    <w:p w14:paraId="35359744" w14:textId="77777777" w:rsidR="002222A8" w:rsidRPr="002222A8" w:rsidRDefault="002222A8" w:rsidP="002222A8">
      <w:pPr>
        <w:rPr>
          <w:lang w:val="hr-HR"/>
        </w:rPr>
      </w:pPr>
    </w:p>
    <w:p w14:paraId="01066276" w14:textId="2284E7CA" w:rsidR="00582C95" w:rsidRPr="003B5C0A" w:rsidRDefault="009D3776" w:rsidP="005F3FBC">
      <w:pPr>
        <w:jc w:val="both"/>
        <w:rPr>
          <w:lang w:val="hr-HR"/>
        </w:rPr>
      </w:pPr>
      <w:r w:rsidRPr="003B5C0A">
        <w:rPr>
          <w:lang w:val="hr-HR"/>
        </w:rPr>
        <w:t>Strukturni saldo predstavlja manjak odnosno višak proračuna opće države koji ne uključuje cikličke ekonomske učinke i jednokratne te privremene mjere koje imaju utjecaj na prihode odnosno rashode proračuna. Izračun ciklički prilagođenog salda temeljen je na metodologiji</w:t>
      </w:r>
      <w:r w:rsidR="00DB7CC9" w:rsidRPr="003B5C0A">
        <w:rPr>
          <w:rStyle w:val="Referencafusnote"/>
          <w:lang w:val="hr-HR"/>
        </w:rPr>
        <w:footnoteReference w:id="3"/>
      </w:r>
      <w:r w:rsidRPr="003B5C0A">
        <w:rPr>
          <w:lang w:val="hr-HR"/>
        </w:rPr>
        <w:t xml:space="preserve"> E</w:t>
      </w:r>
      <w:r w:rsidR="00B207F6">
        <w:rPr>
          <w:lang w:val="hr-HR"/>
        </w:rPr>
        <w:t>uropske</w:t>
      </w:r>
      <w:r w:rsidR="00144310">
        <w:rPr>
          <w:lang w:val="hr-HR"/>
        </w:rPr>
        <w:t xml:space="preserve"> komisije</w:t>
      </w:r>
      <w:r w:rsidRPr="003B5C0A">
        <w:rPr>
          <w:lang w:val="hr-HR"/>
        </w:rPr>
        <w:t xml:space="preserve"> te su kao ciklički osjetljive komponente na prihodnoj strani promatrani porez na dohodak, porez na dobit, indirektni porezi</w:t>
      </w:r>
      <w:r w:rsidR="00C20498">
        <w:rPr>
          <w:lang w:val="hr-HR"/>
        </w:rPr>
        <w:t xml:space="preserve"> te</w:t>
      </w:r>
      <w:r w:rsidRPr="003B5C0A">
        <w:rPr>
          <w:lang w:val="hr-HR"/>
        </w:rPr>
        <w:t xml:space="preserve"> doprinosi za socijalno osiguranje, dok su na rashodnoj strani promatrane naknade za nezaposlene. </w:t>
      </w:r>
      <w:r w:rsidR="00E572A3">
        <w:rPr>
          <w:lang w:val="hr-HR"/>
        </w:rPr>
        <w:t xml:space="preserve">Ciljana vrijednost pravila strukturnog salda postaje srednjoročni proračunski cilj </w:t>
      </w:r>
      <w:r w:rsidRPr="003B5C0A">
        <w:rPr>
          <w:lang w:val="hr-HR"/>
        </w:rPr>
        <w:t xml:space="preserve">(MTO) koji osigurava da </w:t>
      </w:r>
      <w:r w:rsidRPr="00303D28">
        <w:rPr>
          <w:lang w:val="hr-HR"/>
        </w:rPr>
        <w:t xml:space="preserve">kretanje manjka </w:t>
      </w:r>
      <w:r w:rsidR="00E572A3" w:rsidRPr="00303D28">
        <w:rPr>
          <w:lang w:val="hr-HR"/>
        </w:rPr>
        <w:t xml:space="preserve">općeg </w:t>
      </w:r>
      <w:r w:rsidRPr="00303D28">
        <w:rPr>
          <w:lang w:val="hr-HR"/>
        </w:rPr>
        <w:t xml:space="preserve">proračuna i javnog duga bude u skladu s odredbama Pakta o stabilnosti i </w:t>
      </w:r>
      <w:r w:rsidRPr="00192E05">
        <w:rPr>
          <w:lang w:val="hr-HR"/>
        </w:rPr>
        <w:t>rastu</w:t>
      </w:r>
      <w:r w:rsidR="005F3FBC" w:rsidRPr="00192E05">
        <w:rPr>
          <w:lang w:val="hr-HR"/>
        </w:rPr>
        <w:t>,</w:t>
      </w:r>
      <w:r w:rsidR="00F46211" w:rsidRPr="00192E05">
        <w:rPr>
          <w:lang w:val="hr-HR"/>
        </w:rPr>
        <w:t xml:space="preserve"> </w:t>
      </w:r>
      <w:r w:rsidR="005F3FBC" w:rsidRPr="00192E05">
        <w:rPr>
          <w:lang w:val="hr-HR"/>
        </w:rPr>
        <w:t xml:space="preserve">čime se osigurava </w:t>
      </w:r>
      <w:r w:rsidR="00C666C7" w:rsidRPr="00192E05">
        <w:rPr>
          <w:lang w:val="hr-HR"/>
        </w:rPr>
        <w:t xml:space="preserve">njihovo </w:t>
      </w:r>
      <w:r w:rsidR="005F3FBC" w:rsidRPr="00192E05">
        <w:rPr>
          <w:lang w:val="hr-HR"/>
        </w:rPr>
        <w:t xml:space="preserve">održivo kretanje. </w:t>
      </w:r>
      <w:r w:rsidR="00582C95" w:rsidRPr="00192E05">
        <w:rPr>
          <w:lang w:val="hr-HR"/>
        </w:rPr>
        <w:t>Člankom 6. Zakona o fiskalnoj odgovornosti utvrđeno je</w:t>
      </w:r>
      <w:r w:rsidR="00020D17" w:rsidRPr="00192E05">
        <w:rPr>
          <w:lang w:val="hr-HR"/>
        </w:rPr>
        <w:t xml:space="preserve"> </w:t>
      </w:r>
      <w:r w:rsidR="00582C95" w:rsidRPr="00192E05">
        <w:rPr>
          <w:lang w:val="hr-HR"/>
        </w:rPr>
        <w:t>da se pravilo strukturnog salda smatra ispunjenim kada je strukturni saldo jednak ili veći od srednjoročnog proračunskog cilja ili mu se približava prema utvrđenom planu prilagodbe, pri čemu se dozvoljavaju određena odstupanja za iznos koji nije značajan.</w:t>
      </w:r>
    </w:p>
    <w:p w14:paraId="39E1A4E4" w14:textId="108EF417" w:rsidR="00E05CD0" w:rsidRDefault="00E05CD0" w:rsidP="00E05CD0">
      <w:pPr>
        <w:spacing w:after="240"/>
        <w:jc w:val="both"/>
        <w:rPr>
          <w:lang w:val="hr-HR"/>
        </w:rPr>
      </w:pPr>
      <w:r w:rsidRPr="003B5C0A">
        <w:rPr>
          <w:lang w:val="hr-HR"/>
        </w:rPr>
        <w:t xml:space="preserve">Početkom 2016. godine, Odbor za ekonomska i financijska pitanja utvrdio je minimalni srednjoročni proračunski cilj za RH od -1,75% BDP-a za razdoblje 2017. - 2019., a koji je RH potvrdila kao svoj cilj u Programu konvergencije iz 2016. godine. </w:t>
      </w:r>
    </w:p>
    <w:p w14:paraId="1204EFE6" w14:textId="77458A32" w:rsidR="00A74499" w:rsidRPr="00192E05" w:rsidRDefault="00C4087C" w:rsidP="00A10DE2">
      <w:pPr>
        <w:spacing w:after="240"/>
        <w:jc w:val="both"/>
        <w:rPr>
          <w:lang w:val="hr-HR"/>
        </w:rPr>
      </w:pPr>
      <w:r w:rsidRPr="00192E05">
        <w:rPr>
          <w:lang w:val="hr-HR"/>
        </w:rPr>
        <w:t>Prema Izvješću o Proceduri prekomjernoga proračunskog manjka i razini duga opće države u RH iz travnja 20</w:t>
      </w:r>
      <w:r w:rsidR="001A0CA5" w:rsidRPr="00192E05">
        <w:rPr>
          <w:lang w:val="hr-HR"/>
        </w:rPr>
        <w:t>20</w:t>
      </w:r>
      <w:r w:rsidRPr="00192E05">
        <w:rPr>
          <w:lang w:val="hr-HR"/>
        </w:rPr>
        <w:t>. godine, opći proračun prema europskoj statističkoj metodologiji ESA 2010 je u 201</w:t>
      </w:r>
      <w:r w:rsidR="001A0CA5" w:rsidRPr="00192E05">
        <w:rPr>
          <w:lang w:val="hr-HR"/>
        </w:rPr>
        <w:t>9</w:t>
      </w:r>
      <w:r w:rsidRPr="00192E05">
        <w:rPr>
          <w:lang w:val="hr-HR"/>
        </w:rPr>
        <w:t xml:space="preserve">. godini </w:t>
      </w:r>
      <w:r w:rsidR="001A0CA5" w:rsidRPr="00192E05">
        <w:rPr>
          <w:lang w:val="hr-HR"/>
        </w:rPr>
        <w:t>treću</w:t>
      </w:r>
      <w:r w:rsidRPr="00192E05">
        <w:rPr>
          <w:lang w:val="hr-HR"/>
        </w:rPr>
        <w:t xml:space="preserve"> godinu zaredom ostvario višak i to od </w:t>
      </w:r>
      <w:r w:rsidR="00914106" w:rsidRPr="00192E05">
        <w:rPr>
          <w:lang w:val="hr-HR"/>
        </w:rPr>
        <w:t>1,6 milijardi</w:t>
      </w:r>
      <w:r w:rsidRPr="00192E05">
        <w:rPr>
          <w:lang w:val="hr-HR"/>
        </w:rPr>
        <w:t xml:space="preserve"> kuna ili 0,</w:t>
      </w:r>
      <w:r w:rsidR="00914106" w:rsidRPr="00192E05">
        <w:rPr>
          <w:lang w:val="hr-HR"/>
        </w:rPr>
        <w:t>4</w:t>
      </w:r>
      <w:r w:rsidRPr="00192E05">
        <w:rPr>
          <w:lang w:val="hr-HR"/>
        </w:rPr>
        <w:t>% BDP-a, što predstavlja značajno poboljšanje u odnosu na prvotno planirani manjak od 0,</w:t>
      </w:r>
      <w:r w:rsidR="006C418F" w:rsidRPr="00192E05">
        <w:rPr>
          <w:lang w:val="hr-HR"/>
        </w:rPr>
        <w:t>4</w:t>
      </w:r>
      <w:r w:rsidRPr="00192E05">
        <w:rPr>
          <w:lang w:val="hr-HR"/>
        </w:rPr>
        <w:t xml:space="preserve">% BDP-a. </w:t>
      </w:r>
      <w:r w:rsidR="000A08F8" w:rsidRPr="00192E05">
        <w:rPr>
          <w:lang w:val="hr-HR"/>
        </w:rPr>
        <w:t xml:space="preserve">Navedeni višak ostvaren je unatoč </w:t>
      </w:r>
      <w:r w:rsidR="000949A7" w:rsidRPr="00192E05">
        <w:rPr>
          <w:lang w:val="hr-HR"/>
        </w:rPr>
        <w:t>jednokratno</w:t>
      </w:r>
      <w:r w:rsidR="008A710A" w:rsidRPr="00192E05">
        <w:rPr>
          <w:lang w:val="hr-HR"/>
        </w:rPr>
        <w:t>m</w:t>
      </w:r>
      <w:r w:rsidR="00F46211" w:rsidRPr="00192E05">
        <w:rPr>
          <w:lang w:val="hr-HR"/>
        </w:rPr>
        <w:t xml:space="preserve"> </w:t>
      </w:r>
      <w:r w:rsidR="00BA74CB" w:rsidRPr="00192E05">
        <w:rPr>
          <w:lang w:val="hr-HR"/>
        </w:rPr>
        <w:t xml:space="preserve">kapitalnom </w:t>
      </w:r>
      <w:r w:rsidR="00DA3664" w:rsidRPr="00192E05">
        <w:rPr>
          <w:lang w:val="hr-HR"/>
        </w:rPr>
        <w:t>transferu</w:t>
      </w:r>
      <w:r w:rsidR="000949A7" w:rsidRPr="00192E05">
        <w:rPr>
          <w:lang w:val="hr-HR"/>
        </w:rPr>
        <w:t xml:space="preserve"> na ime protestiranih jamst</w:t>
      </w:r>
      <w:r w:rsidR="005C411A" w:rsidRPr="00192E05">
        <w:rPr>
          <w:lang w:val="hr-HR"/>
        </w:rPr>
        <w:t>a</w:t>
      </w:r>
      <w:r w:rsidR="000949A7" w:rsidRPr="00192E05">
        <w:rPr>
          <w:lang w:val="hr-HR"/>
        </w:rPr>
        <w:t>va za Uljanik grupu u iznosu od 2 milijarde kuna, odnosno 0,5% BDP-a, plaćenih tijekom 2019. godine.</w:t>
      </w:r>
    </w:p>
    <w:p w14:paraId="48D10AC5" w14:textId="7503933F" w:rsidR="00D21976" w:rsidRPr="00691931" w:rsidRDefault="00D21976" w:rsidP="00D21976">
      <w:pPr>
        <w:spacing w:after="240"/>
        <w:jc w:val="both"/>
        <w:rPr>
          <w:b/>
          <w:bCs/>
          <w:lang w:val="hr-HR"/>
        </w:rPr>
      </w:pPr>
      <w:r w:rsidRPr="00691931">
        <w:rPr>
          <w:b/>
          <w:bCs/>
          <w:lang w:val="hr-HR"/>
        </w:rPr>
        <w:t xml:space="preserve">Prema izračunima Ministarstva financija, strukturni saldo opće države u 2019. godini iznosio je </w:t>
      </w:r>
      <w:r w:rsidR="008D0490">
        <w:rPr>
          <w:b/>
          <w:bCs/>
          <w:lang w:val="hr-HR"/>
        </w:rPr>
        <w:br/>
      </w:r>
      <w:r w:rsidRPr="00691931">
        <w:rPr>
          <w:b/>
          <w:bCs/>
          <w:lang w:val="hr-HR"/>
        </w:rPr>
        <w:t xml:space="preserve">-0,6% BDP-a, čime je </w:t>
      </w:r>
      <w:r w:rsidR="009F62EC">
        <w:rPr>
          <w:b/>
          <w:bCs/>
          <w:lang w:val="hr-HR"/>
        </w:rPr>
        <w:t xml:space="preserve">znatno </w:t>
      </w:r>
      <w:r w:rsidRPr="00691931">
        <w:rPr>
          <w:b/>
          <w:bCs/>
          <w:lang w:val="hr-HR"/>
        </w:rPr>
        <w:t xml:space="preserve">premašen srednjoročni proračunski cilj od -1,75% BDP-a, odnosno fiskalno pravilo strukturnog salda je zadovoljeno. </w:t>
      </w:r>
    </w:p>
    <w:p w14:paraId="7CA5E85E" w14:textId="2C935FBB" w:rsidR="003B5C0A" w:rsidRPr="00316184" w:rsidRDefault="00316184" w:rsidP="00316184">
      <w:pPr>
        <w:pStyle w:val="Opisslike"/>
        <w:keepNext/>
        <w:jc w:val="both"/>
        <w:rPr>
          <w:color w:val="auto"/>
          <w:sz w:val="22"/>
          <w:szCs w:val="22"/>
          <w:lang w:val="hr-HR"/>
        </w:rPr>
      </w:pPr>
      <w:r w:rsidRPr="00BA74CB">
        <w:rPr>
          <w:i w:val="0"/>
          <w:iCs w:val="0"/>
          <w:color w:val="auto"/>
          <w:sz w:val="22"/>
          <w:szCs w:val="22"/>
          <w:lang w:val="hr-HR"/>
        </w:rPr>
        <w:lastRenderedPageBreak/>
        <w:t xml:space="preserve">Tablica </w:t>
      </w:r>
      <w:r w:rsidRPr="00BA74CB">
        <w:rPr>
          <w:i w:val="0"/>
          <w:iCs w:val="0"/>
          <w:color w:val="auto"/>
          <w:sz w:val="22"/>
          <w:szCs w:val="22"/>
          <w:lang w:val="hr-HR"/>
        </w:rPr>
        <w:fldChar w:fldCharType="begin"/>
      </w:r>
      <w:r w:rsidRPr="00BA74CB">
        <w:rPr>
          <w:i w:val="0"/>
          <w:iCs w:val="0"/>
          <w:color w:val="auto"/>
          <w:sz w:val="22"/>
          <w:szCs w:val="22"/>
          <w:lang w:val="hr-HR"/>
        </w:rPr>
        <w:instrText xml:space="preserve"> SEQ Tablica \* ARABIC </w:instrText>
      </w:r>
      <w:r w:rsidRPr="00BA74CB">
        <w:rPr>
          <w:i w:val="0"/>
          <w:iCs w:val="0"/>
          <w:color w:val="auto"/>
          <w:sz w:val="22"/>
          <w:szCs w:val="22"/>
          <w:lang w:val="hr-HR"/>
        </w:rPr>
        <w:fldChar w:fldCharType="separate"/>
      </w:r>
      <w:r w:rsidR="00D668AB">
        <w:rPr>
          <w:i w:val="0"/>
          <w:iCs w:val="0"/>
          <w:noProof/>
          <w:color w:val="auto"/>
          <w:sz w:val="22"/>
          <w:szCs w:val="22"/>
          <w:lang w:val="hr-HR"/>
        </w:rPr>
        <w:t>1</w:t>
      </w:r>
      <w:r w:rsidRPr="00BA74CB">
        <w:rPr>
          <w:i w:val="0"/>
          <w:iCs w:val="0"/>
          <w:color w:val="auto"/>
          <w:sz w:val="22"/>
          <w:szCs w:val="22"/>
          <w:lang w:val="hr-HR"/>
        </w:rPr>
        <w:fldChar w:fldCharType="end"/>
      </w:r>
      <w:r w:rsidRPr="00BA74CB">
        <w:rPr>
          <w:i w:val="0"/>
          <w:iCs w:val="0"/>
          <w:color w:val="auto"/>
          <w:sz w:val="22"/>
          <w:szCs w:val="22"/>
          <w:lang w:val="hr-HR"/>
        </w:rPr>
        <w:t>:</w:t>
      </w:r>
      <w:r w:rsidR="00D21976" w:rsidRPr="00BA74CB">
        <w:rPr>
          <w:i w:val="0"/>
          <w:iCs w:val="0"/>
          <w:color w:val="auto"/>
          <w:sz w:val="22"/>
          <w:szCs w:val="22"/>
          <w:lang w:val="hr-HR"/>
        </w:rPr>
        <w:t xml:space="preserve"> </w:t>
      </w:r>
      <w:r w:rsidRPr="00BA74CB">
        <w:rPr>
          <w:color w:val="auto"/>
          <w:sz w:val="22"/>
          <w:szCs w:val="22"/>
          <w:lang w:val="hr-HR"/>
        </w:rPr>
        <w:t xml:space="preserve">Izračun strukturnog </w:t>
      </w:r>
      <w:r w:rsidR="000010A6" w:rsidRPr="00BA74CB">
        <w:rPr>
          <w:color w:val="auto"/>
          <w:sz w:val="22"/>
          <w:szCs w:val="22"/>
          <w:lang w:val="hr-HR"/>
        </w:rPr>
        <w:t xml:space="preserve">salda konsolidirane opće države </w:t>
      </w:r>
      <w:r w:rsidRPr="00BA74CB">
        <w:rPr>
          <w:color w:val="auto"/>
          <w:sz w:val="22"/>
          <w:szCs w:val="22"/>
          <w:lang w:val="hr-HR"/>
        </w:rPr>
        <w:t>u 2018. i 2019. godini</w:t>
      </w:r>
      <w:r w:rsidRPr="00BA74CB">
        <w:rPr>
          <w:lang w:val="hr-HR"/>
        </w:rPr>
        <w:tab/>
      </w:r>
      <w:r w:rsidR="004D0F26" w:rsidRPr="00BA74CB">
        <w:rPr>
          <w:lang w:val="hr-HR"/>
        </w:rPr>
        <w:br/>
      </w:r>
      <w:r w:rsidR="00764C20" w:rsidRPr="00764C20">
        <w:rPr>
          <w:noProof/>
          <w:lang w:val="hr-HR" w:eastAsia="hr-HR"/>
        </w:rPr>
        <w:drawing>
          <wp:inline distT="0" distB="0" distL="0" distR="0" wp14:anchorId="659A411C" wp14:editId="587245EE">
            <wp:extent cx="5367056" cy="1327785"/>
            <wp:effectExtent l="0" t="0" r="508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96" cy="1344865"/>
                    </a:xfrm>
                    <a:prstGeom prst="rect">
                      <a:avLst/>
                    </a:prstGeom>
                    <a:noFill/>
                    <a:ln>
                      <a:noFill/>
                    </a:ln>
                  </pic:spPr>
                </pic:pic>
              </a:graphicData>
            </a:graphic>
          </wp:inline>
        </w:drawing>
      </w:r>
      <w:r w:rsidR="00682967" w:rsidRPr="00682967">
        <w:t xml:space="preserve"> </w:t>
      </w:r>
      <w:r w:rsidR="004D0F26">
        <w:rPr>
          <w:sz w:val="20"/>
          <w:lang w:val="hr-HR"/>
        </w:rPr>
        <w:br/>
      </w:r>
      <w:r w:rsidR="004D0F26" w:rsidRPr="00C14A04">
        <w:rPr>
          <w:color w:val="auto"/>
          <w:sz w:val="20"/>
          <w:lang w:val="hr-HR"/>
        </w:rPr>
        <w:t>Izvor: Ministarstvo financija, Državni zavod za statistiku</w:t>
      </w:r>
      <w:r w:rsidR="004D0F26" w:rsidRPr="00C14A04">
        <w:rPr>
          <w:color w:val="auto"/>
          <w:sz w:val="20"/>
          <w:lang w:val="hr-HR"/>
        </w:rPr>
        <w:tab/>
      </w:r>
    </w:p>
    <w:p w14:paraId="74D48181" w14:textId="66021139" w:rsidR="00E96960" w:rsidRPr="00192E05" w:rsidRDefault="00A52B4D" w:rsidP="00631C6A">
      <w:pPr>
        <w:spacing w:after="240"/>
        <w:jc w:val="both"/>
        <w:rPr>
          <w:lang w:val="hr-HR"/>
        </w:rPr>
      </w:pPr>
      <w:r w:rsidRPr="00192E05">
        <w:rPr>
          <w:lang w:val="hr-HR"/>
        </w:rPr>
        <w:t xml:space="preserve">Za cikličku prilagodbu </w:t>
      </w:r>
      <w:r w:rsidR="009B2891" w:rsidRPr="00192E05">
        <w:rPr>
          <w:lang w:val="hr-HR"/>
        </w:rPr>
        <w:t xml:space="preserve">proračunskog salda </w:t>
      </w:r>
      <w:r w:rsidR="002058AF" w:rsidRPr="00192E05">
        <w:rPr>
          <w:lang w:val="hr-HR"/>
        </w:rPr>
        <w:t>korišten</w:t>
      </w:r>
      <w:r w:rsidR="007A1E7C" w:rsidRPr="00192E05">
        <w:rPr>
          <w:lang w:val="hr-HR"/>
        </w:rPr>
        <w:t xml:space="preserve"> je</w:t>
      </w:r>
      <w:r w:rsidR="009B2891" w:rsidRPr="00192E05">
        <w:rPr>
          <w:lang w:val="hr-HR"/>
        </w:rPr>
        <w:t xml:space="preserve"> </w:t>
      </w:r>
      <w:r w:rsidR="00762AE6" w:rsidRPr="00192E05">
        <w:rPr>
          <w:lang w:val="hr-HR"/>
        </w:rPr>
        <w:t>izračun</w:t>
      </w:r>
      <w:r w:rsidR="002058AF" w:rsidRPr="00192E05">
        <w:rPr>
          <w:lang w:val="hr-HR"/>
        </w:rPr>
        <w:t xml:space="preserve"> jaz</w:t>
      </w:r>
      <w:r w:rsidR="00762AE6" w:rsidRPr="00192E05">
        <w:rPr>
          <w:lang w:val="hr-HR"/>
        </w:rPr>
        <w:t xml:space="preserve">a </w:t>
      </w:r>
      <w:r w:rsidR="002058AF" w:rsidRPr="00192E05">
        <w:rPr>
          <w:lang w:val="hr-HR"/>
        </w:rPr>
        <w:t>bruto domaćeg proizvoda</w:t>
      </w:r>
      <w:r w:rsidR="002D6B85" w:rsidRPr="00192E05">
        <w:rPr>
          <w:lang w:val="hr-HR"/>
        </w:rPr>
        <w:t xml:space="preserve"> </w:t>
      </w:r>
      <w:r w:rsidR="0075159F" w:rsidRPr="00192E05">
        <w:rPr>
          <w:lang w:val="hr-HR"/>
        </w:rPr>
        <w:t xml:space="preserve">koji je Ministarstvo financija provelo u </w:t>
      </w:r>
      <w:r w:rsidR="00764C20" w:rsidRPr="00192E05">
        <w:rPr>
          <w:lang w:val="hr-HR"/>
        </w:rPr>
        <w:t>listopadu</w:t>
      </w:r>
      <w:r w:rsidR="0075159F" w:rsidRPr="00192E05">
        <w:rPr>
          <w:lang w:val="hr-HR"/>
        </w:rPr>
        <w:t xml:space="preserve"> 2019.</w:t>
      </w:r>
      <w:r w:rsidR="00D21976" w:rsidRPr="00192E05">
        <w:rPr>
          <w:lang w:val="hr-HR"/>
        </w:rPr>
        <w:t xml:space="preserve"> </w:t>
      </w:r>
      <w:r w:rsidR="0075159F" w:rsidRPr="00192E05">
        <w:rPr>
          <w:lang w:val="hr-HR"/>
        </w:rPr>
        <w:t>te je objavljen u okviru</w:t>
      </w:r>
      <w:r w:rsidR="00D21976" w:rsidRPr="00192E05">
        <w:rPr>
          <w:lang w:val="hr-HR"/>
        </w:rPr>
        <w:t xml:space="preserve"> </w:t>
      </w:r>
      <w:r w:rsidR="00D53C98" w:rsidRPr="00192E05">
        <w:rPr>
          <w:lang w:val="hr-HR"/>
        </w:rPr>
        <w:t xml:space="preserve">Izvještaja o primjeni fiskalnih pravila uz Prijedlog državnog proračuna i financijskih planova izvanproračunskih korisnika </w:t>
      </w:r>
      <w:r w:rsidR="002B32C3" w:rsidRPr="00192E05">
        <w:rPr>
          <w:lang w:val="hr-HR"/>
        </w:rPr>
        <w:t>za 2020.</w:t>
      </w:r>
      <w:r w:rsidR="00D21976" w:rsidRPr="00192E05">
        <w:rPr>
          <w:lang w:val="hr-HR"/>
        </w:rPr>
        <w:t xml:space="preserve"> </w:t>
      </w:r>
      <w:r w:rsidR="00B07773" w:rsidRPr="00192E05">
        <w:rPr>
          <w:lang w:val="hr-HR"/>
        </w:rPr>
        <w:t>Obzirom na neizvjesnosti vezan</w:t>
      </w:r>
      <w:r w:rsidR="007A5320" w:rsidRPr="00192E05">
        <w:rPr>
          <w:lang w:val="hr-HR"/>
        </w:rPr>
        <w:t>e</w:t>
      </w:r>
      <w:r w:rsidR="00B07773" w:rsidRPr="00192E05">
        <w:rPr>
          <w:lang w:val="hr-HR"/>
        </w:rPr>
        <w:t xml:space="preserve"> uz trajanje i intenzitet </w:t>
      </w:r>
      <w:proofErr w:type="spellStart"/>
      <w:r w:rsidR="00B66ED0" w:rsidRPr="00192E05">
        <w:rPr>
          <w:lang w:val="hr-HR"/>
        </w:rPr>
        <w:t>pan</w:t>
      </w:r>
      <w:r w:rsidR="00B07773" w:rsidRPr="00192E05">
        <w:rPr>
          <w:lang w:val="hr-HR"/>
        </w:rPr>
        <w:t>demije</w:t>
      </w:r>
      <w:proofErr w:type="spellEnd"/>
      <w:r w:rsidR="00B07773" w:rsidRPr="00192E05">
        <w:rPr>
          <w:lang w:val="hr-HR"/>
        </w:rPr>
        <w:t xml:space="preserve"> </w:t>
      </w:r>
      <w:proofErr w:type="spellStart"/>
      <w:r w:rsidR="00B07773" w:rsidRPr="00192E05">
        <w:rPr>
          <w:lang w:val="hr-HR"/>
        </w:rPr>
        <w:t>koronavirusa</w:t>
      </w:r>
      <w:proofErr w:type="spellEnd"/>
      <w:r w:rsidR="00B07773" w:rsidRPr="00192E05">
        <w:rPr>
          <w:lang w:val="hr-HR"/>
        </w:rPr>
        <w:t>, r</w:t>
      </w:r>
      <w:r w:rsidR="006B13B1" w:rsidRPr="00192E05">
        <w:rPr>
          <w:lang w:val="hr-HR"/>
        </w:rPr>
        <w:t>azmjeri i vremensko trajanje ekonomskih poremećaja</w:t>
      </w:r>
      <w:r w:rsidR="00E9248B" w:rsidRPr="00192E05">
        <w:rPr>
          <w:lang w:val="hr-HR"/>
        </w:rPr>
        <w:t xml:space="preserve"> uslijed COVID-19 </w:t>
      </w:r>
      <w:proofErr w:type="spellStart"/>
      <w:r w:rsidR="00E9248B" w:rsidRPr="00192E05">
        <w:rPr>
          <w:lang w:val="hr-HR"/>
        </w:rPr>
        <w:t>pandemije</w:t>
      </w:r>
      <w:proofErr w:type="spellEnd"/>
      <w:r w:rsidR="006B13B1" w:rsidRPr="00192E05">
        <w:rPr>
          <w:lang w:val="hr-HR"/>
        </w:rPr>
        <w:t xml:space="preserve"> još uvijek su </w:t>
      </w:r>
      <w:r w:rsidR="0030023F" w:rsidRPr="00192E05">
        <w:rPr>
          <w:lang w:val="hr-HR"/>
        </w:rPr>
        <w:t>teško predvidivi</w:t>
      </w:r>
      <w:r w:rsidR="00E9248B" w:rsidRPr="00192E05">
        <w:rPr>
          <w:lang w:val="hr-HR"/>
        </w:rPr>
        <w:t>.</w:t>
      </w:r>
      <w:r w:rsidR="00B07773" w:rsidRPr="00192E05">
        <w:rPr>
          <w:lang w:val="hr-HR"/>
        </w:rPr>
        <w:t xml:space="preserve"> </w:t>
      </w:r>
      <w:r w:rsidR="00014C4D" w:rsidRPr="00192E05">
        <w:rPr>
          <w:lang w:val="hr-HR"/>
        </w:rPr>
        <w:t>T</w:t>
      </w:r>
      <w:r w:rsidR="00B07773" w:rsidRPr="00192E05">
        <w:rPr>
          <w:lang w:val="hr-HR"/>
        </w:rPr>
        <w:t xml:space="preserve">renutno </w:t>
      </w:r>
      <w:r w:rsidR="00014C4D" w:rsidRPr="00192E05">
        <w:rPr>
          <w:lang w:val="hr-HR"/>
        </w:rPr>
        <w:t xml:space="preserve">je </w:t>
      </w:r>
      <w:r w:rsidR="00B07773" w:rsidRPr="00192E05">
        <w:rPr>
          <w:lang w:val="hr-HR"/>
        </w:rPr>
        <w:t xml:space="preserve">dostupan ograničen skup podataka koji pokazuju tek početne utjecaje epidemije </w:t>
      </w:r>
      <w:proofErr w:type="spellStart"/>
      <w:r w:rsidR="00B07773" w:rsidRPr="00192E05">
        <w:rPr>
          <w:lang w:val="hr-HR"/>
        </w:rPr>
        <w:t>koronavirusa</w:t>
      </w:r>
      <w:proofErr w:type="spellEnd"/>
      <w:r w:rsidR="00B07773" w:rsidRPr="00192E05">
        <w:rPr>
          <w:lang w:val="hr-HR"/>
        </w:rPr>
        <w:t xml:space="preserve"> na gospodarstvo</w:t>
      </w:r>
      <w:r w:rsidR="00014C4D" w:rsidRPr="00192E05">
        <w:rPr>
          <w:lang w:val="hr-HR"/>
        </w:rPr>
        <w:t xml:space="preserve"> čime je</w:t>
      </w:r>
      <w:r w:rsidR="00B07773" w:rsidRPr="00192E05">
        <w:rPr>
          <w:lang w:val="hr-HR"/>
        </w:rPr>
        <w:t xml:space="preserve"> procjena njenih ekonomskih učin</w:t>
      </w:r>
      <w:r w:rsidR="006B3DDC" w:rsidRPr="00192E05">
        <w:rPr>
          <w:lang w:val="hr-HR"/>
        </w:rPr>
        <w:t>a</w:t>
      </w:r>
      <w:r w:rsidR="00B07773" w:rsidRPr="00192E05">
        <w:rPr>
          <w:lang w:val="hr-HR"/>
        </w:rPr>
        <w:t>ka</w:t>
      </w:r>
      <w:r w:rsidR="00D21976" w:rsidRPr="00192E05">
        <w:rPr>
          <w:lang w:val="hr-HR"/>
        </w:rPr>
        <w:t xml:space="preserve"> </w:t>
      </w:r>
      <w:r w:rsidR="00014C4D" w:rsidRPr="00192E05">
        <w:rPr>
          <w:lang w:val="hr-HR"/>
        </w:rPr>
        <w:t>dodatno</w:t>
      </w:r>
      <w:r w:rsidR="00DF2CCF" w:rsidRPr="00192E05">
        <w:rPr>
          <w:lang w:val="hr-HR"/>
        </w:rPr>
        <w:t xml:space="preserve"> otežana</w:t>
      </w:r>
      <w:r w:rsidR="00014C4D" w:rsidRPr="00192E05">
        <w:rPr>
          <w:lang w:val="hr-HR"/>
        </w:rPr>
        <w:t>. U</w:t>
      </w:r>
      <w:r w:rsidR="00B07773" w:rsidRPr="00192E05">
        <w:rPr>
          <w:lang w:val="hr-HR"/>
        </w:rPr>
        <w:t xml:space="preserve"> ovom trenutku teško </w:t>
      </w:r>
      <w:r w:rsidR="00B80E21" w:rsidRPr="00192E05">
        <w:rPr>
          <w:lang w:val="hr-HR"/>
        </w:rPr>
        <w:t xml:space="preserve">je </w:t>
      </w:r>
      <w:r w:rsidR="00B07773" w:rsidRPr="00192E05">
        <w:rPr>
          <w:lang w:val="hr-HR"/>
        </w:rPr>
        <w:t xml:space="preserve">preciznije procijeniti implikacije epidemije </w:t>
      </w:r>
      <w:proofErr w:type="spellStart"/>
      <w:r w:rsidR="00B07773" w:rsidRPr="00192E05">
        <w:rPr>
          <w:lang w:val="hr-HR"/>
        </w:rPr>
        <w:t>koronavirusa</w:t>
      </w:r>
      <w:proofErr w:type="spellEnd"/>
      <w:r w:rsidR="00B07773" w:rsidRPr="00192E05">
        <w:rPr>
          <w:lang w:val="hr-HR"/>
        </w:rPr>
        <w:t xml:space="preserve"> na ponašanje i pouzdanje potrošača te gospodarskih subjekata. </w:t>
      </w:r>
      <w:r w:rsidR="00D622F0" w:rsidRPr="00192E05">
        <w:rPr>
          <w:lang w:val="hr-HR"/>
        </w:rPr>
        <w:t xml:space="preserve">Obzirom na velik stupanj neizvjesnosti koji proizlazi iz </w:t>
      </w:r>
      <w:proofErr w:type="spellStart"/>
      <w:r w:rsidR="00B66ED0" w:rsidRPr="00192E05">
        <w:rPr>
          <w:lang w:val="hr-HR"/>
        </w:rPr>
        <w:t>pandemije</w:t>
      </w:r>
      <w:proofErr w:type="spellEnd"/>
      <w:r w:rsidR="00D622F0" w:rsidRPr="00192E05">
        <w:rPr>
          <w:lang w:val="hr-HR"/>
        </w:rPr>
        <w:t xml:space="preserve"> COVID-19</w:t>
      </w:r>
      <w:r w:rsidR="00544F11" w:rsidRPr="00192E05">
        <w:rPr>
          <w:lang w:val="hr-HR"/>
        </w:rPr>
        <w:t>, smatramo kako je procjena potencijalnog BDP-a u ovom trenutku izuzetno nepouzdana</w:t>
      </w:r>
      <w:r w:rsidR="00AD7A5A" w:rsidRPr="00192E05">
        <w:rPr>
          <w:lang w:val="hr-HR"/>
        </w:rPr>
        <w:t xml:space="preserve"> te je</w:t>
      </w:r>
      <w:r w:rsidR="009C2585" w:rsidRPr="00192E05">
        <w:rPr>
          <w:lang w:val="hr-HR"/>
        </w:rPr>
        <w:t xml:space="preserve"> kod izračuna strukturnog salda prihvatljivije</w:t>
      </w:r>
      <w:r w:rsidR="00AD7A5A" w:rsidRPr="00192E05">
        <w:rPr>
          <w:lang w:val="hr-HR"/>
        </w:rPr>
        <w:t xml:space="preserve"> koristiti prethodni izračun</w:t>
      </w:r>
      <w:r w:rsidR="001751A3" w:rsidRPr="00192E05">
        <w:rPr>
          <w:lang w:val="hr-HR"/>
        </w:rPr>
        <w:t xml:space="preserve"> </w:t>
      </w:r>
      <w:r w:rsidR="00212409" w:rsidRPr="00192E05">
        <w:rPr>
          <w:lang w:val="hr-HR"/>
        </w:rPr>
        <w:t>jaza bruto domaćeg proizvoda</w:t>
      </w:r>
      <w:r w:rsidR="00777938" w:rsidRPr="00192E05">
        <w:rPr>
          <w:lang w:val="hr-HR"/>
        </w:rPr>
        <w:t xml:space="preserve"> iz </w:t>
      </w:r>
      <w:r w:rsidR="000F486A" w:rsidRPr="00192E05">
        <w:rPr>
          <w:lang w:val="hr-HR"/>
        </w:rPr>
        <w:t xml:space="preserve">listopada </w:t>
      </w:r>
      <w:r w:rsidR="00777938" w:rsidRPr="00192E05">
        <w:rPr>
          <w:lang w:val="hr-HR"/>
        </w:rPr>
        <w:t>2019.</w:t>
      </w:r>
    </w:p>
    <w:p w14:paraId="45C200F7" w14:textId="4165FF7F" w:rsidR="0053026F" w:rsidRPr="008A7BA9" w:rsidRDefault="0053026F" w:rsidP="005B056B">
      <w:pPr>
        <w:spacing w:after="240"/>
        <w:jc w:val="both"/>
        <w:rPr>
          <w:lang w:val="hr-HR"/>
        </w:rPr>
      </w:pPr>
      <w:r w:rsidRPr="00192E05">
        <w:rPr>
          <w:lang w:val="hr-HR"/>
        </w:rPr>
        <w:t xml:space="preserve">Također, napominjemo da se </w:t>
      </w:r>
      <w:r w:rsidR="00C92665" w:rsidRPr="00192E05">
        <w:rPr>
          <w:lang w:val="hr-HR"/>
        </w:rPr>
        <w:t>vrlo sličan</w:t>
      </w:r>
      <w:r w:rsidRPr="00192E05">
        <w:rPr>
          <w:lang w:val="hr-HR"/>
        </w:rPr>
        <w:t xml:space="preserve"> rezultat</w:t>
      </w:r>
      <w:r w:rsidR="00C34B19" w:rsidRPr="00192E05">
        <w:rPr>
          <w:lang w:val="hr-HR"/>
        </w:rPr>
        <w:t xml:space="preserve"> onom iz Tablice 1</w:t>
      </w:r>
      <w:r w:rsidR="00784F2E" w:rsidRPr="00192E05">
        <w:rPr>
          <w:lang w:val="hr-HR"/>
        </w:rPr>
        <w:t xml:space="preserve"> </w:t>
      </w:r>
      <w:r w:rsidRPr="00192E05">
        <w:rPr>
          <w:lang w:val="hr-HR"/>
        </w:rPr>
        <w:t xml:space="preserve">dobije </w:t>
      </w:r>
      <w:r w:rsidR="000C4A95" w:rsidRPr="00192E05">
        <w:rPr>
          <w:lang w:val="hr-HR"/>
        </w:rPr>
        <w:t>ukoliko se za cikličku prilagodbu proračunskog salda koristi</w:t>
      </w:r>
      <w:r w:rsidR="001243B4" w:rsidRPr="00192E05">
        <w:rPr>
          <w:lang w:val="hr-HR"/>
        </w:rPr>
        <w:t xml:space="preserve"> posljednj</w:t>
      </w:r>
      <w:r w:rsidR="000C4A95" w:rsidRPr="00192E05">
        <w:rPr>
          <w:lang w:val="hr-HR"/>
        </w:rPr>
        <w:t>i</w:t>
      </w:r>
      <w:r w:rsidR="001243B4" w:rsidRPr="00192E05">
        <w:rPr>
          <w:lang w:val="hr-HR"/>
        </w:rPr>
        <w:t xml:space="preserve"> dostup</w:t>
      </w:r>
      <w:r w:rsidR="000C4A95" w:rsidRPr="00192E05">
        <w:rPr>
          <w:lang w:val="hr-HR"/>
        </w:rPr>
        <w:t>an</w:t>
      </w:r>
      <w:r w:rsidR="001243B4" w:rsidRPr="00192E05">
        <w:rPr>
          <w:lang w:val="hr-HR"/>
        </w:rPr>
        <w:t xml:space="preserve"> izračun </w:t>
      </w:r>
      <w:r w:rsidR="005E0ADB" w:rsidRPr="00192E05">
        <w:rPr>
          <w:lang w:val="hr-HR"/>
        </w:rPr>
        <w:t>jaza bruto domaćeg proizvoda</w:t>
      </w:r>
      <w:r w:rsidR="00030278" w:rsidRPr="00192E05">
        <w:rPr>
          <w:lang w:val="hr-HR"/>
        </w:rPr>
        <w:t xml:space="preserve"> proveden</w:t>
      </w:r>
      <w:r w:rsidR="005E0ADB" w:rsidRPr="00192E05">
        <w:rPr>
          <w:lang w:val="hr-HR"/>
        </w:rPr>
        <w:t xml:space="preserve"> </w:t>
      </w:r>
      <w:r w:rsidR="00B43D17" w:rsidRPr="00192E05">
        <w:rPr>
          <w:lang w:val="hr-HR"/>
        </w:rPr>
        <w:t xml:space="preserve">od strane </w:t>
      </w:r>
      <w:r w:rsidR="001243B4" w:rsidRPr="00192E05">
        <w:rPr>
          <w:lang w:val="hr-HR"/>
        </w:rPr>
        <w:t>Europske komisije</w:t>
      </w:r>
      <w:r w:rsidR="00B43D17" w:rsidRPr="00192E05">
        <w:rPr>
          <w:lang w:val="hr-HR"/>
        </w:rPr>
        <w:t>,</w:t>
      </w:r>
      <w:r w:rsidR="001243B4" w:rsidRPr="00192E05">
        <w:rPr>
          <w:lang w:val="hr-HR"/>
        </w:rPr>
        <w:t xml:space="preserve"> </w:t>
      </w:r>
      <w:r w:rsidR="00030278" w:rsidRPr="00192E05">
        <w:rPr>
          <w:lang w:val="hr-HR"/>
        </w:rPr>
        <w:t>iz</w:t>
      </w:r>
      <w:r w:rsidR="001243B4" w:rsidRPr="00192E05">
        <w:rPr>
          <w:lang w:val="hr-HR"/>
        </w:rPr>
        <w:t xml:space="preserve"> Jesenskih ekonomskih prognoza iz studenog 2019.</w:t>
      </w:r>
    </w:p>
    <w:p w14:paraId="23296A08" w14:textId="5A20DF0D" w:rsidR="00F33E54" w:rsidRDefault="00316184" w:rsidP="005B056B">
      <w:pPr>
        <w:spacing w:after="240"/>
        <w:jc w:val="both"/>
        <w:rPr>
          <w:i/>
          <w:sz w:val="20"/>
          <w:lang w:val="hr-HR"/>
        </w:rPr>
      </w:pPr>
      <w:r w:rsidRPr="00316184">
        <w:rPr>
          <w:lang w:val="hr-HR"/>
        </w:rPr>
        <w:t xml:space="preserve">Tablica </w:t>
      </w:r>
      <w:r w:rsidRPr="00316184">
        <w:rPr>
          <w:lang w:val="hr-HR"/>
        </w:rPr>
        <w:fldChar w:fldCharType="begin"/>
      </w:r>
      <w:r w:rsidRPr="00316184">
        <w:rPr>
          <w:lang w:val="hr-HR"/>
        </w:rPr>
        <w:instrText xml:space="preserve"> SEQ Tablica \* ARABIC </w:instrText>
      </w:r>
      <w:r w:rsidRPr="00316184">
        <w:rPr>
          <w:lang w:val="hr-HR"/>
        </w:rPr>
        <w:fldChar w:fldCharType="separate"/>
      </w:r>
      <w:r w:rsidR="00D668AB">
        <w:rPr>
          <w:noProof/>
          <w:lang w:val="hr-HR"/>
        </w:rPr>
        <w:t>2</w:t>
      </w:r>
      <w:r w:rsidRPr="00316184">
        <w:rPr>
          <w:lang w:val="hr-HR"/>
        </w:rPr>
        <w:fldChar w:fldCharType="end"/>
      </w:r>
      <w:r w:rsidRPr="00316184">
        <w:rPr>
          <w:lang w:val="hr-HR"/>
        </w:rPr>
        <w:t>:</w:t>
      </w:r>
      <w:r w:rsidR="00D21976">
        <w:rPr>
          <w:lang w:val="hr-HR"/>
        </w:rPr>
        <w:t xml:space="preserve"> </w:t>
      </w:r>
      <w:r w:rsidRPr="00316184">
        <w:rPr>
          <w:i/>
          <w:iCs/>
          <w:lang w:val="hr-HR"/>
        </w:rPr>
        <w:t>Izračun strukturnog salda</w:t>
      </w:r>
      <w:r w:rsidR="000010A6" w:rsidRPr="000010A6">
        <w:rPr>
          <w:i/>
          <w:iCs/>
          <w:lang w:val="hr-HR"/>
        </w:rPr>
        <w:t xml:space="preserve"> konsolidirane opće države</w:t>
      </w:r>
      <w:r w:rsidRPr="00316184">
        <w:rPr>
          <w:i/>
          <w:iCs/>
          <w:lang w:val="hr-HR"/>
        </w:rPr>
        <w:t xml:space="preserve"> u 2018. i 2019. godini</w:t>
      </w:r>
      <w:r w:rsidRPr="00316184">
        <w:rPr>
          <w:i/>
          <w:iCs/>
          <w:lang w:val="hr-HR"/>
        </w:rPr>
        <w:tab/>
      </w:r>
      <w:r w:rsidR="00F330D9">
        <w:rPr>
          <w:lang w:val="hr-HR"/>
        </w:rPr>
        <w:tab/>
      </w:r>
      <w:r w:rsidR="00F330D9">
        <w:rPr>
          <w:lang w:val="hr-HR"/>
        </w:rPr>
        <w:br/>
      </w:r>
      <w:r w:rsidR="0053026F" w:rsidRPr="0053026F">
        <w:rPr>
          <w:noProof/>
          <w:lang w:val="hr-HR" w:eastAsia="hr-HR"/>
        </w:rPr>
        <w:drawing>
          <wp:inline distT="0" distB="0" distL="0" distR="0" wp14:anchorId="5E002773" wp14:editId="0CC5FA5A">
            <wp:extent cx="5327374" cy="1290213"/>
            <wp:effectExtent l="0" t="0" r="698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425" cy="1303545"/>
                    </a:xfrm>
                    <a:prstGeom prst="rect">
                      <a:avLst/>
                    </a:prstGeom>
                    <a:noFill/>
                    <a:ln>
                      <a:noFill/>
                    </a:ln>
                  </pic:spPr>
                </pic:pic>
              </a:graphicData>
            </a:graphic>
          </wp:inline>
        </w:drawing>
      </w:r>
      <w:r w:rsidR="00C14A04">
        <w:rPr>
          <w:lang w:val="hr-HR"/>
        </w:rPr>
        <w:br/>
      </w:r>
      <w:r w:rsidR="00C14A04" w:rsidRPr="00C14A04">
        <w:rPr>
          <w:i/>
          <w:sz w:val="20"/>
          <w:lang w:val="hr-HR"/>
        </w:rPr>
        <w:t xml:space="preserve">Izvor: </w:t>
      </w:r>
      <w:r w:rsidR="002E5D36" w:rsidRPr="00C14A04">
        <w:rPr>
          <w:i/>
          <w:sz w:val="20"/>
          <w:lang w:val="hr-HR"/>
        </w:rPr>
        <w:t>Ministarstvo financija, Državni zavod za statistiku</w:t>
      </w:r>
      <w:r w:rsidR="002E5D36">
        <w:rPr>
          <w:i/>
          <w:sz w:val="20"/>
          <w:lang w:val="hr-HR"/>
        </w:rPr>
        <w:t>, Europska komisija</w:t>
      </w:r>
      <w:r w:rsidR="002E5D36" w:rsidRPr="00C14A04">
        <w:rPr>
          <w:i/>
          <w:sz w:val="20"/>
          <w:lang w:val="hr-HR"/>
        </w:rPr>
        <w:tab/>
      </w:r>
    </w:p>
    <w:p w14:paraId="0354C479" w14:textId="77777777" w:rsidR="00192E05" w:rsidRDefault="00192E05" w:rsidP="005B056B">
      <w:pPr>
        <w:spacing w:after="240"/>
        <w:jc w:val="both"/>
        <w:rPr>
          <w:lang w:val="hr-HR"/>
        </w:rPr>
      </w:pPr>
    </w:p>
    <w:p w14:paraId="0FB48B41" w14:textId="41D9CA66" w:rsidR="008B7911" w:rsidRPr="00192E05" w:rsidRDefault="008B7911" w:rsidP="006B095D">
      <w:pPr>
        <w:pStyle w:val="Naslov2"/>
        <w:rPr>
          <w:sz w:val="24"/>
          <w:szCs w:val="24"/>
          <w:lang w:val="hr-HR"/>
        </w:rPr>
      </w:pPr>
      <w:r w:rsidRPr="00192E05">
        <w:rPr>
          <w:sz w:val="24"/>
          <w:szCs w:val="24"/>
          <w:lang w:val="hr-HR"/>
        </w:rPr>
        <w:t xml:space="preserve">PRAVILO RASHODA </w:t>
      </w:r>
    </w:p>
    <w:p w14:paraId="073B5981" w14:textId="77777777" w:rsidR="007C50B7" w:rsidRPr="00192E05" w:rsidRDefault="007C50B7" w:rsidP="008B7911">
      <w:pPr>
        <w:rPr>
          <w:lang w:val="hr-HR"/>
        </w:rPr>
      </w:pPr>
    </w:p>
    <w:p w14:paraId="43B2BEDA" w14:textId="54F9FC21" w:rsidR="00227B8B" w:rsidRPr="00192E05" w:rsidRDefault="008A36F1" w:rsidP="00917008">
      <w:pPr>
        <w:jc w:val="both"/>
        <w:rPr>
          <w:lang w:val="hr-HR"/>
        </w:rPr>
      </w:pPr>
      <w:r w:rsidRPr="00192E05">
        <w:rPr>
          <w:lang w:val="hr-HR"/>
        </w:rPr>
        <w:t>P</w:t>
      </w:r>
      <w:r w:rsidR="00227B8B" w:rsidRPr="00192E05">
        <w:rPr>
          <w:lang w:val="hr-HR"/>
        </w:rPr>
        <w:t>ravilo</w:t>
      </w:r>
      <w:r w:rsidRPr="00192E05">
        <w:rPr>
          <w:lang w:val="hr-HR"/>
        </w:rPr>
        <w:t>m</w:t>
      </w:r>
      <w:r w:rsidR="00227B8B" w:rsidRPr="00192E05">
        <w:rPr>
          <w:lang w:val="hr-HR"/>
        </w:rPr>
        <w:t xml:space="preserve"> rashoda </w:t>
      </w:r>
      <w:r w:rsidRPr="00192E05">
        <w:rPr>
          <w:lang w:val="hr-HR"/>
        </w:rPr>
        <w:t>utvrđuje se da</w:t>
      </w:r>
      <w:r w:rsidR="00227B8B" w:rsidRPr="00192E05">
        <w:rPr>
          <w:lang w:val="hr-HR"/>
        </w:rPr>
        <w:t xml:space="preserve"> godišnji rast rashoda općeg proračuna ne smije prelaziti referentnu potencijalnu stopu rasta BDP-a</w:t>
      </w:r>
      <w:r w:rsidR="00F904D8" w:rsidRPr="00192E05">
        <w:rPr>
          <w:lang w:val="hr-HR"/>
        </w:rPr>
        <w:t>.</w:t>
      </w:r>
      <w:r w:rsidR="00227B8B" w:rsidRPr="00192E05">
        <w:rPr>
          <w:lang w:val="hr-HR"/>
        </w:rPr>
        <w:t xml:space="preserve"> </w:t>
      </w:r>
      <w:r w:rsidR="006C726D" w:rsidRPr="00192E05">
        <w:rPr>
          <w:lang w:val="hr-HR"/>
        </w:rPr>
        <w:t xml:space="preserve">Pritom se, u skladu s pravnim odredbama </w:t>
      </w:r>
      <w:r w:rsidR="005A14E0" w:rsidRPr="00192E05">
        <w:rPr>
          <w:lang w:val="hr-HR"/>
        </w:rPr>
        <w:t>EU</w:t>
      </w:r>
      <w:r w:rsidR="006C726D" w:rsidRPr="00192E05">
        <w:rPr>
          <w:lang w:val="hr-HR"/>
        </w:rPr>
        <w:t>,</w:t>
      </w:r>
      <w:r w:rsidR="00227B8B" w:rsidRPr="00192E05">
        <w:rPr>
          <w:lang w:val="hr-HR"/>
        </w:rPr>
        <w:t xml:space="preserve"> dozvoljavaju izuzeća za </w:t>
      </w:r>
      <w:r w:rsidR="00227B8B" w:rsidRPr="00192E05">
        <w:rPr>
          <w:lang w:val="hr-HR"/>
        </w:rPr>
        <w:lastRenderedPageBreak/>
        <w:t xml:space="preserve">pojedine kategorije rashoda </w:t>
      </w:r>
      <w:r w:rsidR="005F182E" w:rsidRPr="00192E05">
        <w:rPr>
          <w:lang w:val="hr-HR"/>
        </w:rPr>
        <w:t xml:space="preserve">kao što su primjerice rashodi za kamate, rashodi za provođenje programa </w:t>
      </w:r>
      <w:r w:rsidR="005A14E0" w:rsidRPr="00192E05">
        <w:rPr>
          <w:lang w:val="hr-HR"/>
        </w:rPr>
        <w:t>EU</w:t>
      </w:r>
      <w:r w:rsidR="005F182E" w:rsidRPr="00192E05">
        <w:rPr>
          <w:lang w:val="hr-HR"/>
        </w:rPr>
        <w:t xml:space="preserve"> bez nacionalnog sufinanciranja te godišnja promjena u ciklički osjetljivim rashodima</w:t>
      </w:r>
      <w:r w:rsidR="00FA60E1" w:rsidRPr="00192E05">
        <w:rPr>
          <w:lang w:val="hr-HR"/>
        </w:rPr>
        <w:t>,</w:t>
      </w:r>
      <w:r w:rsidR="00D21976" w:rsidRPr="00192E05">
        <w:rPr>
          <w:lang w:val="hr-HR"/>
        </w:rPr>
        <w:t xml:space="preserve"> </w:t>
      </w:r>
      <w:r w:rsidR="005F182E" w:rsidRPr="00192E05">
        <w:rPr>
          <w:lang w:val="hr-HR"/>
        </w:rPr>
        <w:t xml:space="preserve">dok se rashodi za investicije, bez onih financiranih iz programa </w:t>
      </w:r>
      <w:r w:rsidR="005A14E0" w:rsidRPr="00192E05">
        <w:rPr>
          <w:lang w:val="hr-HR"/>
        </w:rPr>
        <w:t>EU</w:t>
      </w:r>
      <w:r w:rsidR="005F182E" w:rsidRPr="00192E05">
        <w:rPr>
          <w:lang w:val="hr-HR"/>
        </w:rPr>
        <w:t>, uključuju u prosječnom iznosu temeljem dinamike njihova kretanja u prethodne četiri godine.</w:t>
      </w:r>
      <w:r w:rsidR="004932BE" w:rsidRPr="00192E05">
        <w:rPr>
          <w:lang w:val="hr-HR"/>
        </w:rPr>
        <w:t xml:space="preserve"> </w:t>
      </w:r>
      <w:r w:rsidR="00227B8B" w:rsidRPr="00192E05">
        <w:rPr>
          <w:lang w:val="hr-HR"/>
        </w:rPr>
        <w:t xml:space="preserve">Iznimno, rashodi općeg proračuna mogu se povećati i iznad referentne potencijalne stope rasta BDP-a za iznos povećanja prihoda uslijed promjena zakonodavnog okvira. S druge strane, smanjenje prihoda općeg proračuna zbog promjene zakonodavnog okvira mora biti usklađeno sa smanjenjem rashoda općeg proračuna i/ili s povećanjem drugih prihoda promjenom zakonodavnog okvira. </w:t>
      </w:r>
    </w:p>
    <w:p w14:paraId="3351D734" w14:textId="79BA28A7" w:rsidR="0054107D" w:rsidRPr="00A25204" w:rsidRDefault="0054107D" w:rsidP="00917008">
      <w:pPr>
        <w:jc w:val="both"/>
        <w:rPr>
          <w:b/>
          <w:bCs/>
          <w:lang w:val="hr-HR"/>
        </w:rPr>
      </w:pPr>
      <w:r w:rsidRPr="00192E05">
        <w:rPr>
          <w:lang w:val="hr-HR"/>
        </w:rPr>
        <w:t xml:space="preserve">Člankom 7. Zakona o fiskalnoj odgovornosti utvrđeno je da se pravilo rashoda ne primjenjuje u slučaju kada je strukturni saldo jednak ili veći od srednjoročnog proračunskog cilja. </w:t>
      </w:r>
      <w:r w:rsidRPr="00192E05">
        <w:rPr>
          <w:b/>
          <w:bCs/>
          <w:lang w:val="hr-HR"/>
        </w:rPr>
        <w:t>S obzirom da je srednjoročni proračunski cilj u 201</w:t>
      </w:r>
      <w:r w:rsidR="001A0CA5" w:rsidRPr="00192E05">
        <w:rPr>
          <w:b/>
          <w:bCs/>
          <w:lang w:val="hr-HR"/>
        </w:rPr>
        <w:t>9</w:t>
      </w:r>
      <w:r w:rsidRPr="00192E05">
        <w:rPr>
          <w:b/>
          <w:bCs/>
          <w:lang w:val="hr-HR"/>
        </w:rPr>
        <w:t xml:space="preserve">. godini premašen, pravilo rashoda se </w:t>
      </w:r>
      <w:r w:rsidR="003B165E" w:rsidRPr="00192E05">
        <w:rPr>
          <w:b/>
          <w:bCs/>
          <w:lang w:val="hr-HR"/>
        </w:rPr>
        <w:t xml:space="preserve">u navedenoj godini </w:t>
      </w:r>
      <w:r w:rsidRPr="00192E05">
        <w:rPr>
          <w:b/>
          <w:bCs/>
          <w:lang w:val="hr-HR"/>
        </w:rPr>
        <w:t>ne primjenjuje.</w:t>
      </w:r>
    </w:p>
    <w:p w14:paraId="6CD1A87D" w14:textId="77777777" w:rsidR="007C50B7" w:rsidRPr="00D668AB" w:rsidRDefault="007C50B7" w:rsidP="00D668AB">
      <w:pPr>
        <w:rPr>
          <w:lang w:val="hr-HR"/>
        </w:rPr>
      </w:pPr>
    </w:p>
    <w:p w14:paraId="7CA5E85F" w14:textId="18BF983A" w:rsidR="00272721" w:rsidRPr="006B095D" w:rsidRDefault="00272721" w:rsidP="006B095D">
      <w:pPr>
        <w:pStyle w:val="Naslov2"/>
        <w:rPr>
          <w:sz w:val="24"/>
          <w:szCs w:val="24"/>
          <w:lang w:val="hr-HR"/>
        </w:rPr>
      </w:pPr>
      <w:r w:rsidRPr="006B095D">
        <w:rPr>
          <w:sz w:val="24"/>
          <w:szCs w:val="24"/>
          <w:lang w:val="hr-HR"/>
        </w:rPr>
        <w:t>PRAVILO JAVNOG DUGA</w:t>
      </w:r>
    </w:p>
    <w:p w14:paraId="1B579FAF" w14:textId="77777777" w:rsidR="002222A8" w:rsidRPr="002222A8" w:rsidRDefault="002222A8" w:rsidP="002222A8">
      <w:pPr>
        <w:rPr>
          <w:lang w:val="hr-HR"/>
        </w:rPr>
      </w:pPr>
    </w:p>
    <w:p w14:paraId="0BC51C00" w14:textId="6B4BB630" w:rsidR="009673FC" w:rsidRDefault="007E0327" w:rsidP="002254C3">
      <w:pPr>
        <w:jc w:val="both"/>
        <w:rPr>
          <w:lang w:val="hr-HR"/>
        </w:rPr>
      </w:pPr>
      <w:r w:rsidRPr="00192E05">
        <w:rPr>
          <w:lang w:val="hr-HR"/>
        </w:rPr>
        <w:t xml:space="preserve">Prema pravilu javnog duga, udio javnog duga u BDP-u ne smije prijeći referentnu vrijednost od 60%. Ako </w:t>
      </w:r>
      <w:r w:rsidR="00340C91" w:rsidRPr="00192E05">
        <w:rPr>
          <w:lang w:val="hr-HR"/>
        </w:rPr>
        <w:t>udio</w:t>
      </w:r>
      <w:r w:rsidRPr="00192E05">
        <w:rPr>
          <w:lang w:val="hr-HR"/>
        </w:rPr>
        <w:t xml:space="preserve"> prelazi spomenutu vrijednost, razlika između </w:t>
      </w:r>
      <w:r w:rsidR="0057119D" w:rsidRPr="00192E05">
        <w:rPr>
          <w:lang w:val="hr-HR"/>
        </w:rPr>
        <w:t xml:space="preserve">udjela </w:t>
      </w:r>
      <w:r w:rsidRPr="00192E05">
        <w:rPr>
          <w:lang w:val="hr-HR"/>
        </w:rPr>
        <w:t>javnog duga u BDP-u i referentne vrijednosti mor</w:t>
      </w:r>
      <w:r w:rsidR="00472B3B" w:rsidRPr="00192E05">
        <w:rPr>
          <w:lang w:val="hr-HR"/>
        </w:rPr>
        <w:t>a</w:t>
      </w:r>
      <w:r w:rsidRPr="00192E05">
        <w:rPr>
          <w:lang w:val="hr-HR"/>
        </w:rPr>
        <w:t xml:space="preserve"> se smanjivati po dinamici koja je u skladu s pravnim odredbama </w:t>
      </w:r>
      <w:r w:rsidR="00472B3B" w:rsidRPr="00192E05">
        <w:rPr>
          <w:lang w:val="hr-HR"/>
        </w:rPr>
        <w:t>EU</w:t>
      </w:r>
      <w:r w:rsidRPr="00192E05">
        <w:rPr>
          <w:lang w:val="hr-HR"/>
        </w:rPr>
        <w:t xml:space="preserve">, </w:t>
      </w:r>
      <w:r w:rsidR="00472B3B" w:rsidRPr="00192E05">
        <w:rPr>
          <w:lang w:val="hr-HR"/>
        </w:rPr>
        <w:t xml:space="preserve">odnosno </w:t>
      </w:r>
      <w:r w:rsidRPr="00192E05">
        <w:rPr>
          <w:lang w:val="hr-HR"/>
        </w:rPr>
        <w:t>po prosječnoj stopi od jedne dvadesetine godišnje.</w:t>
      </w:r>
      <w:r w:rsidR="008B4518" w:rsidRPr="00192E05">
        <w:rPr>
          <w:lang w:val="hr-HR"/>
        </w:rPr>
        <w:t xml:space="preserve"> Pritom je </w:t>
      </w:r>
      <w:r w:rsidR="009673FC" w:rsidRPr="00192E05">
        <w:rPr>
          <w:lang w:val="hr-HR"/>
        </w:rPr>
        <w:t>smanj</w:t>
      </w:r>
      <w:r w:rsidR="00421B73" w:rsidRPr="00192E05">
        <w:rPr>
          <w:lang w:val="hr-HR"/>
        </w:rPr>
        <w:t>e</w:t>
      </w:r>
      <w:r w:rsidR="009673FC" w:rsidRPr="00192E05">
        <w:rPr>
          <w:lang w:val="hr-HR"/>
        </w:rPr>
        <w:t xml:space="preserve">nje duga </w:t>
      </w:r>
      <w:r w:rsidR="00192010" w:rsidRPr="00192E05">
        <w:rPr>
          <w:lang w:val="hr-HR"/>
        </w:rPr>
        <w:t xml:space="preserve">zadovoljavajuće </w:t>
      </w:r>
      <w:r w:rsidR="009673FC" w:rsidRPr="00192E05">
        <w:rPr>
          <w:lang w:val="hr-HR"/>
        </w:rPr>
        <w:t xml:space="preserve">ukoliko </w:t>
      </w:r>
      <w:r w:rsidR="00301E35" w:rsidRPr="00192E05">
        <w:rPr>
          <w:lang w:val="hr-HR"/>
        </w:rPr>
        <w:t>se</w:t>
      </w:r>
      <w:r w:rsidR="009673FC" w:rsidRPr="00192E05">
        <w:rPr>
          <w:lang w:val="hr-HR"/>
        </w:rPr>
        <w:t xml:space="preserve"> tijekom prethodne tri godine razlika udjela </w:t>
      </w:r>
      <w:r w:rsidR="00044AFA" w:rsidRPr="00192E05">
        <w:rPr>
          <w:lang w:val="hr-HR"/>
        </w:rPr>
        <w:t xml:space="preserve">javnog </w:t>
      </w:r>
      <w:r w:rsidR="009673FC" w:rsidRPr="00192E05">
        <w:rPr>
          <w:lang w:val="hr-HR"/>
        </w:rPr>
        <w:t xml:space="preserve">duga u BDP-u u odnosu na referentnu vrijednost </w:t>
      </w:r>
      <w:r w:rsidR="00D703C7" w:rsidRPr="00192E05">
        <w:rPr>
          <w:lang w:val="hr-HR"/>
        </w:rPr>
        <w:t xml:space="preserve">od 60% </w:t>
      </w:r>
      <w:r w:rsidR="009673FC" w:rsidRPr="00192E05">
        <w:rPr>
          <w:lang w:val="hr-HR"/>
        </w:rPr>
        <w:t>smanjila po prosječnoj stopi od jedne dvadesetine godišnje</w:t>
      </w:r>
      <w:r w:rsidR="00421B73" w:rsidRPr="00192E05">
        <w:rPr>
          <w:lang w:val="hr-HR"/>
        </w:rPr>
        <w:t xml:space="preserve">, odnosno ukoliko </w:t>
      </w:r>
      <w:r w:rsidR="006E579C" w:rsidRPr="00192E05">
        <w:rPr>
          <w:lang w:val="hr-HR"/>
        </w:rPr>
        <w:t xml:space="preserve">prognozirane vrijednosti duga </w:t>
      </w:r>
      <w:r w:rsidR="0061188A" w:rsidRPr="00192E05">
        <w:rPr>
          <w:lang w:val="hr-HR"/>
        </w:rPr>
        <w:t>pokazuju</w:t>
      </w:r>
      <w:r w:rsidR="009673FC" w:rsidRPr="00192E05">
        <w:rPr>
          <w:lang w:val="hr-HR"/>
        </w:rPr>
        <w:t xml:space="preserve"> da će se traženo smanjenje dogoditi tijekom </w:t>
      </w:r>
      <w:r w:rsidR="006E579C" w:rsidRPr="00192E05">
        <w:rPr>
          <w:lang w:val="hr-HR"/>
        </w:rPr>
        <w:t>iduće</w:t>
      </w:r>
      <w:r w:rsidR="009673FC" w:rsidRPr="00192E05">
        <w:rPr>
          <w:lang w:val="hr-HR"/>
        </w:rPr>
        <w:t xml:space="preserve"> dvije godine</w:t>
      </w:r>
      <w:r w:rsidR="008B4518" w:rsidRPr="00192E05">
        <w:rPr>
          <w:lang w:val="hr-HR"/>
        </w:rPr>
        <w:t xml:space="preserve">, </w:t>
      </w:r>
      <w:r w:rsidR="00CB4B9B" w:rsidRPr="00192E05">
        <w:rPr>
          <w:lang w:val="hr-HR"/>
        </w:rPr>
        <w:t>pri čemu se</w:t>
      </w:r>
      <w:r w:rsidR="008B4518" w:rsidRPr="00192E05">
        <w:rPr>
          <w:lang w:val="hr-HR"/>
        </w:rPr>
        <w:t xml:space="preserve"> u obzir</w:t>
      </w:r>
      <w:r w:rsidR="00CB4B9B" w:rsidRPr="00192E05">
        <w:rPr>
          <w:lang w:val="hr-HR"/>
        </w:rPr>
        <w:t xml:space="preserve"> uzima</w:t>
      </w:r>
      <w:r w:rsidR="008B4518" w:rsidRPr="00192E05">
        <w:rPr>
          <w:lang w:val="hr-HR"/>
        </w:rPr>
        <w:t xml:space="preserve"> i utjecaj ekonomskog ciklus</w:t>
      </w:r>
      <w:r w:rsidR="00CB4B9B" w:rsidRPr="00192E05">
        <w:rPr>
          <w:lang w:val="hr-HR"/>
        </w:rPr>
        <w:t>a</w:t>
      </w:r>
      <w:r w:rsidR="008B4518" w:rsidRPr="00192E05">
        <w:rPr>
          <w:lang w:val="hr-HR"/>
        </w:rPr>
        <w:t xml:space="preserve"> na kretanje</w:t>
      </w:r>
      <w:r w:rsidR="00CB4B9B" w:rsidRPr="00192E05">
        <w:rPr>
          <w:lang w:val="hr-HR"/>
        </w:rPr>
        <w:t xml:space="preserve"> duga</w:t>
      </w:r>
      <w:r w:rsidR="009673FC" w:rsidRPr="00192E05">
        <w:rPr>
          <w:lang w:val="hr-HR"/>
        </w:rPr>
        <w:t>. Ti</w:t>
      </w:r>
      <w:r w:rsidR="00F514FB" w:rsidRPr="00192E05">
        <w:rPr>
          <w:lang w:val="hr-HR"/>
        </w:rPr>
        <w:t xml:space="preserve">me </w:t>
      </w:r>
      <w:r w:rsidR="006E1B37" w:rsidRPr="00192E05">
        <w:rPr>
          <w:lang w:val="hr-HR"/>
        </w:rPr>
        <w:t xml:space="preserve">je definirano referentno </w:t>
      </w:r>
      <w:r w:rsidR="009673FC" w:rsidRPr="00192E05">
        <w:rPr>
          <w:lang w:val="hr-HR"/>
        </w:rPr>
        <w:t xml:space="preserve">mjerilo za smanjenje </w:t>
      </w:r>
      <w:r w:rsidR="008862E4" w:rsidRPr="00192E05">
        <w:rPr>
          <w:lang w:val="hr-HR"/>
        </w:rPr>
        <w:t xml:space="preserve">duga </w:t>
      </w:r>
      <w:r w:rsidR="00F94AC0" w:rsidRPr="00192E05">
        <w:rPr>
          <w:lang w:val="hr-HR"/>
        </w:rPr>
        <w:t xml:space="preserve">pri čemu je za njegovo poštivanje </w:t>
      </w:r>
      <w:r w:rsidR="00356F9D" w:rsidRPr="00192E05">
        <w:rPr>
          <w:lang w:val="hr-HR"/>
        </w:rPr>
        <w:t xml:space="preserve">dovoljno ispuniti </w:t>
      </w:r>
      <w:r w:rsidR="008862E4" w:rsidRPr="00192E05">
        <w:rPr>
          <w:lang w:val="hr-HR"/>
        </w:rPr>
        <w:t>barem jedan od</w:t>
      </w:r>
      <w:r w:rsidR="00A33B03" w:rsidRPr="00192E05">
        <w:rPr>
          <w:lang w:val="hr-HR"/>
        </w:rPr>
        <w:t xml:space="preserve"> ranije</w:t>
      </w:r>
      <w:r w:rsidR="008862E4" w:rsidRPr="00192E05">
        <w:rPr>
          <w:lang w:val="hr-HR"/>
        </w:rPr>
        <w:t xml:space="preserve"> </w:t>
      </w:r>
      <w:r w:rsidR="00A33B03" w:rsidRPr="00192E05">
        <w:rPr>
          <w:lang w:val="hr-HR"/>
        </w:rPr>
        <w:t>spomenuta</w:t>
      </w:r>
      <w:r w:rsidR="008862E4" w:rsidRPr="00192E05">
        <w:rPr>
          <w:lang w:val="hr-HR"/>
        </w:rPr>
        <w:t xml:space="preserve"> </w:t>
      </w:r>
      <w:r w:rsidR="009673FC" w:rsidRPr="00192E05">
        <w:rPr>
          <w:lang w:val="hr-HR"/>
        </w:rPr>
        <w:t xml:space="preserve">tri </w:t>
      </w:r>
      <w:r w:rsidR="000A0780" w:rsidRPr="00192E05">
        <w:rPr>
          <w:lang w:val="hr-HR"/>
        </w:rPr>
        <w:t>kriterija</w:t>
      </w:r>
      <w:r w:rsidR="00CC3848" w:rsidRPr="00192E05">
        <w:rPr>
          <w:lang w:val="hr-HR"/>
        </w:rPr>
        <w:t xml:space="preserve"> (</w:t>
      </w:r>
      <w:r w:rsidR="002670AA" w:rsidRPr="00192E05">
        <w:rPr>
          <w:lang w:val="hr-HR"/>
        </w:rPr>
        <w:t xml:space="preserve">odnosno </w:t>
      </w:r>
      <w:r w:rsidR="00F44A63" w:rsidRPr="00192E05">
        <w:rPr>
          <w:lang w:val="hr-HR"/>
        </w:rPr>
        <w:t>referentno mjerilo za</w:t>
      </w:r>
      <w:r w:rsidR="009673FC" w:rsidRPr="00192E05">
        <w:rPr>
          <w:lang w:val="hr-HR"/>
        </w:rPr>
        <w:t xml:space="preserve"> prethodno</w:t>
      </w:r>
      <w:r w:rsidR="00FF0D71" w:rsidRPr="00192E05">
        <w:rPr>
          <w:lang w:val="hr-HR"/>
        </w:rPr>
        <w:t xml:space="preserve"> razdoblje</w:t>
      </w:r>
      <w:r w:rsidR="00F44A63" w:rsidRPr="00192E05">
        <w:rPr>
          <w:lang w:val="hr-HR"/>
        </w:rPr>
        <w:t xml:space="preserve">, referentno mjerilo za buduće </w:t>
      </w:r>
      <w:r w:rsidR="009673FC" w:rsidRPr="00192E05">
        <w:rPr>
          <w:lang w:val="hr-HR"/>
        </w:rPr>
        <w:t>razdoblje</w:t>
      </w:r>
      <w:r w:rsidR="00F44A63" w:rsidRPr="00192E05">
        <w:rPr>
          <w:lang w:val="hr-HR"/>
        </w:rPr>
        <w:t xml:space="preserve"> ili</w:t>
      </w:r>
      <w:r w:rsidR="00D21976" w:rsidRPr="00192E05">
        <w:rPr>
          <w:lang w:val="hr-HR"/>
        </w:rPr>
        <w:t xml:space="preserve"> </w:t>
      </w:r>
      <w:r w:rsidR="009673FC" w:rsidRPr="00192E05">
        <w:rPr>
          <w:lang w:val="hr-HR"/>
        </w:rPr>
        <w:t>referentno mjerilo prilagođeno za utjecaj ciklusa</w:t>
      </w:r>
      <w:r w:rsidR="00CC3848" w:rsidRPr="00192E05">
        <w:rPr>
          <w:lang w:val="hr-HR"/>
        </w:rPr>
        <w:t>)</w:t>
      </w:r>
      <w:r w:rsidR="006E1B37" w:rsidRPr="00192E05">
        <w:rPr>
          <w:lang w:val="hr-HR"/>
        </w:rPr>
        <w:t>.</w:t>
      </w:r>
    </w:p>
    <w:p w14:paraId="71633DAE" w14:textId="7CA001D7" w:rsidR="000105C8" w:rsidRDefault="0002597D" w:rsidP="007E0327">
      <w:pPr>
        <w:jc w:val="both"/>
        <w:rPr>
          <w:i/>
          <w:sz w:val="20"/>
          <w:lang w:val="hr-HR"/>
        </w:rPr>
      </w:pPr>
      <w:r w:rsidRPr="002254C3">
        <w:rPr>
          <w:lang w:val="hr-HR"/>
        </w:rPr>
        <w:lastRenderedPageBreak/>
        <w:t xml:space="preserve">Grafikon 1. </w:t>
      </w:r>
      <w:r w:rsidRPr="00993A0F">
        <w:rPr>
          <w:i/>
          <w:iCs/>
          <w:lang w:val="hr-HR"/>
        </w:rPr>
        <w:t>Kretanje javnog duga u razdoblju 201</w:t>
      </w:r>
      <w:r w:rsidR="00B84836" w:rsidRPr="00993A0F">
        <w:rPr>
          <w:i/>
          <w:iCs/>
          <w:lang w:val="hr-HR"/>
        </w:rPr>
        <w:t>1</w:t>
      </w:r>
      <w:r w:rsidRPr="00993A0F">
        <w:rPr>
          <w:i/>
          <w:iCs/>
          <w:lang w:val="hr-HR"/>
        </w:rPr>
        <w:t>.-201</w:t>
      </w:r>
      <w:r w:rsidR="002254C3" w:rsidRPr="00993A0F">
        <w:rPr>
          <w:i/>
          <w:iCs/>
          <w:lang w:val="hr-HR"/>
        </w:rPr>
        <w:t>9</w:t>
      </w:r>
      <w:r w:rsidRPr="00993A0F">
        <w:rPr>
          <w:i/>
          <w:iCs/>
          <w:lang w:val="hr-HR"/>
        </w:rPr>
        <w:t>.</w:t>
      </w:r>
      <w:r>
        <w:rPr>
          <w:lang w:val="hr-HR"/>
        </w:rPr>
        <w:tab/>
      </w:r>
      <w:r>
        <w:rPr>
          <w:lang w:val="hr-HR"/>
        </w:rPr>
        <w:br/>
      </w:r>
      <w:r w:rsidR="00755CB4">
        <w:rPr>
          <w:noProof/>
          <w:lang w:val="hr-HR" w:eastAsia="hr-HR"/>
        </w:rPr>
        <w:drawing>
          <wp:inline distT="0" distB="0" distL="0" distR="0" wp14:anchorId="2153B661" wp14:editId="07387F93">
            <wp:extent cx="5583116" cy="290366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6712" cy="2910735"/>
                    </a:xfrm>
                    <a:prstGeom prst="rect">
                      <a:avLst/>
                    </a:prstGeom>
                    <a:noFill/>
                    <a:ln>
                      <a:noFill/>
                    </a:ln>
                  </pic:spPr>
                </pic:pic>
              </a:graphicData>
            </a:graphic>
          </wp:inline>
        </w:drawing>
      </w:r>
      <w:r w:rsidR="00D44223">
        <w:rPr>
          <w:i/>
          <w:sz w:val="20"/>
          <w:lang w:val="hr-HR"/>
        </w:rPr>
        <w:br/>
      </w:r>
      <w:r w:rsidR="002254C3" w:rsidRPr="004C1869">
        <w:rPr>
          <w:i/>
          <w:sz w:val="20"/>
          <w:lang w:val="hr-HR"/>
        </w:rPr>
        <w:t>Izvor: Državni zavod za statistiku, Hrvatska narodna banka</w:t>
      </w:r>
    </w:p>
    <w:p w14:paraId="66FDAE6E" w14:textId="76F22633" w:rsidR="002B0DE7" w:rsidRPr="002B0DE7" w:rsidRDefault="002B0DE7" w:rsidP="002B0DE7">
      <w:pPr>
        <w:jc w:val="both"/>
        <w:rPr>
          <w:b/>
          <w:bCs/>
          <w:lang w:val="hr-HR"/>
        </w:rPr>
      </w:pPr>
      <w:r w:rsidRPr="003E5D6F">
        <w:rPr>
          <w:lang w:val="hr-HR"/>
        </w:rPr>
        <w:t>Krajem 2019. godine udio javnog duga u BDP-u je iznosio 73,2% BDP-a te je u odnosu na godinu ranije smanjen za 1,5 postotni</w:t>
      </w:r>
      <w:r w:rsidR="00192E05">
        <w:rPr>
          <w:lang w:val="hr-HR"/>
        </w:rPr>
        <w:t>h</w:t>
      </w:r>
      <w:r w:rsidRPr="003E5D6F">
        <w:rPr>
          <w:lang w:val="hr-HR"/>
        </w:rPr>
        <w:t xml:space="preserve"> bod</w:t>
      </w:r>
      <w:r w:rsidR="00192E05">
        <w:rPr>
          <w:lang w:val="hr-HR"/>
        </w:rPr>
        <w:t>ova</w:t>
      </w:r>
      <w:r w:rsidRPr="003E5D6F">
        <w:rPr>
          <w:lang w:val="hr-HR"/>
        </w:rPr>
        <w:t xml:space="preserve">. Promatramo li ukupno smanjenje duga u </w:t>
      </w:r>
      <w:r w:rsidRPr="002B0DE7">
        <w:rPr>
          <w:lang w:val="hr-HR"/>
        </w:rPr>
        <w:t xml:space="preserve">trogodišnjem razdoblju, krajem 2019. godine udio duga u BDP-u bio je 7,6 postotnih bodova niži u odnosu na kraj 2016. </w:t>
      </w:r>
      <w:r w:rsidRPr="002B0DE7">
        <w:rPr>
          <w:b/>
          <w:bCs/>
          <w:lang w:val="hr-HR"/>
        </w:rPr>
        <w:t>Navedenim smanjenjem je za 2,7 postotnih bodova nadmašena dinamika koju zahtijeva referentno mjerilo za smanjenje duga za prethodno trogodišnje razdoblje. Time je fiskalno pravilo javnog duga zadovoljeno.</w:t>
      </w:r>
    </w:p>
    <w:p w14:paraId="21737FE1" w14:textId="77777777" w:rsidR="002B0DE7" w:rsidRPr="002B0DE7" w:rsidRDefault="002B0DE7" w:rsidP="007E0327">
      <w:pPr>
        <w:jc w:val="both"/>
        <w:rPr>
          <w:i/>
          <w:sz w:val="20"/>
          <w:lang w:val="hr-HR"/>
        </w:rPr>
      </w:pPr>
    </w:p>
    <w:sectPr w:rsidR="002B0DE7" w:rsidRPr="002B0DE7">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2101" w14:textId="77777777" w:rsidR="00A62373" w:rsidRDefault="00A62373" w:rsidP="009D0A2F">
      <w:pPr>
        <w:spacing w:after="0" w:line="240" w:lineRule="auto"/>
      </w:pPr>
      <w:r>
        <w:separator/>
      </w:r>
    </w:p>
  </w:endnote>
  <w:endnote w:type="continuationSeparator" w:id="0">
    <w:p w14:paraId="3D5CF27F" w14:textId="77777777" w:rsidR="00A62373" w:rsidRDefault="00A62373" w:rsidP="009D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99185"/>
      <w:docPartObj>
        <w:docPartGallery w:val="Page Numbers (Bottom of Page)"/>
        <w:docPartUnique/>
      </w:docPartObj>
    </w:sdtPr>
    <w:sdtContent>
      <w:p w14:paraId="03F5488C" w14:textId="60744C93" w:rsidR="00F415D2" w:rsidRDefault="00F415D2">
        <w:pPr>
          <w:pStyle w:val="Podnoje"/>
          <w:jc w:val="center"/>
        </w:pPr>
        <w:r>
          <w:fldChar w:fldCharType="begin"/>
        </w:r>
        <w:r>
          <w:instrText>PAGE   \* MERGEFORMAT</w:instrText>
        </w:r>
        <w:r>
          <w:fldChar w:fldCharType="separate"/>
        </w:r>
        <w:r w:rsidRPr="00F415D2">
          <w:rPr>
            <w:noProof/>
            <w:lang w:val="hr-HR"/>
          </w:rPr>
          <w:t>1</w:t>
        </w:r>
        <w:r>
          <w:fldChar w:fldCharType="end"/>
        </w:r>
      </w:p>
    </w:sdtContent>
  </w:sdt>
  <w:p w14:paraId="1BB7A6D2" w14:textId="77777777" w:rsidR="00F415D2" w:rsidRDefault="00F415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973D" w14:textId="77777777" w:rsidR="00A62373" w:rsidRDefault="00A62373" w:rsidP="009D0A2F">
      <w:pPr>
        <w:spacing w:after="0" w:line="240" w:lineRule="auto"/>
      </w:pPr>
      <w:r>
        <w:separator/>
      </w:r>
    </w:p>
  </w:footnote>
  <w:footnote w:type="continuationSeparator" w:id="0">
    <w:p w14:paraId="5694DE8A" w14:textId="77777777" w:rsidR="00A62373" w:rsidRDefault="00A62373" w:rsidP="009D0A2F">
      <w:pPr>
        <w:spacing w:after="0" w:line="240" w:lineRule="auto"/>
      </w:pPr>
      <w:r>
        <w:continuationSeparator/>
      </w:r>
    </w:p>
  </w:footnote>
  <w:footnote w:id="1">
    <w:p w14:paraId="7CA5E86C" w14:textId="77777777" w:rsidR="00B7176A" w:rsidRPr="00B7176A" w:rsidRDefault="00B7176A">
      <w:pPr>
        <w:pStyle w:val="Tekstfusnote"/>
        <w:rPr>
          <w:lang w:val="hr-HR"/>
        </w:rPr>
      </w:pPr>
      <w:r>
        <w:rPr>
          <w:rStyle w:val="Referencafusnote"/>
        </w:rPr>
        <w:footnoteRef/>
      </w:r>
      <w:r>
        <w:t xml:space="preserve"> </w:t>
      </w:r>
      <w:r>
        <w:rPr>
          <w:lang w:val="hr-HR"/>
        </w:rPr>
        <w:t>Narodne novine, broj 111/2018.</w:t>
      </w:r>
    </w:p>
  </w:footnote>
  <w:footnote w:id="2">
    <w:p w14:paraId="4557CDA2" w14:textId="6A52287B" w:rsidR="00DC3274" w:rsidRPr="00DC3274" w:rsidRDefault="00DC3274">
      <w:pPr>
        <w:pStyle w:val="Tekstfusnote"/>
        <w:rPr>
          <w:lang w:val="hr-HR"/>
        </w:rPr>
      </w:pPr>
      <w:r>
        <w:rPr>
          <w:rStyle w:val="Referencafusnote"/>
        </w:rPr>
        <w:footnoteRef/>
      </w:r>
      <w:r>
        <w:t xml:space="preserve"> </w:t>
      </w:r>
      <w:r>
        <w:rPr>
          <w:lang w:val="hr-HR"/>
        </w:rPr>
        <w:t>Narodne novine, broj</w:t>
      </w:r>
      <w:r w:rsidRPr="00DC3274">
        <w:t xml:space="preserve"> 95/2019</w:t>
      </w:r>
      <w:r>
        <w:t>.</w:t>
      </w:r>
    </w:p>
  </w:footnote>
  <w:footnote w:id="3">
    <w:p w14:paraId="7CA5E86D" w14:textId="77777777" w:rsidR="00DB7CC9" w:rsidRPr="00DB7CC9" w:rsidRDefault="00DB7CC9">
      <w:pPr>
        <w:pStyle w:val="Tekstfusnote"/>
        <w:rPr>
          <w:lang w:val="hr-HR"/>
        </w:rPr>
      </w:pPr>
      <w:r>
        <w:rPr>
          <w:rStyle w:val="Referencafusnote"/>
        </w:rPr>
        <w:footnoteRef/>
      </w:r>
      <w:r w:rsidRPr="00DB7CC9">
        <w:rPr>
          <w:noProof/>
          <w:lang w:val="en-US"/>
        </w:rPr>
        <w:t xml:space="preserve"> </w:t>
      </w:r>
      <w:r w:rsidRPr="00DB7CC9">
        <w:rPr>
          <w:i/>
          <w:noProof/>
          <w:lang w:val="en-US"/>
        </w:rPr>
        <w:t>Gilles Mourre, Caterina Astarita, Savina Princen, 2014. "Adjusting the budget balance for the business cycle: the EU methodology", European Economy – Economic Papers 53</w:t>
      </w:r>
      <w:r w:rsidR="002610BE">
        <w:rPr>
          <w:i/>
          <w:noProof/>
          <w:lang w:val="en-US"/>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494"/>
    <w:multiLevelType w:val="hybridMultilevel"/>
    <w:tmpl w:val="AD46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76"/>
    <w:rsid w:val="0000068F"/>
    <w:rsid w:val="00000815"/>
    <w:rsid w:val="000010A6"/>
    <w:rsid w:val="000043B3"/>
    <w:rsid w:val="000105C8"/>
    <w:rsid w:val="0001185A"/>
    <w:rsid w:val="000128EB"/>
    <w:rsid w:val="0001479D"/>
    <w:rsid w:val="00014C4D"/>
    <w:rsid w:val="0001730D"/>
    <w:rsid w:val="00020D17"/>
    <w:rsid w:val="00024692"/>
    <w:rsid w:val="0002597D"/>
    <w:rsid w:val="00030278"/>
    <w:rsid w:val="00033A21"/>
    <w:rsid w:val="00036027"/>
    <w:rsid w:val="00036516"/>
    <w:rsid w:val="000379B6"/>
    <w:rsid w:val="00044AFA"/>
    <w:rsid w:val="000504C3"/>
    <w:rsid w:val="00055667"/>
    <w:rsid w:val="000575EB"/>
    <w:rsid w:val="00064A54"/>
    <w:rsid w:val="00065AD4"/>
    <w:rsid w:val="00080146"/>
    <w:rsid w:val="000825C6"/>
    <w:rsid w:val="000924E7"/>
    <w:rsid w:val="000949A7"/>
    <w:rsid w:val="000A0780"/>
    <w:rsid w:val="000A08F8"/>
    <w:rsid w:val="000B3C43"/>
    <w:rsid w:val="000B6F4A"/>
    <w:rsid w:val="000C3841"/>
    <w:rsid w:val="000C4A95"/>
    <w:rsid w:val="000F486A"/>
    <w:rsid w:val="001057BD"/>
    <w:rsid w:val="00120C92"/>
    <w:rsid w:val="001243B4"/>
    <w:rsid w:val="00135591"/>
    <w:rsid w:val="00144310"/>
    <w:rsid w:val="00160071"/>
    <w:rsid w:val="0017072B"/>
    <w:rsid w:val="001751A3"/>
    <w:rsid w:val="001822FA"/>
    <w:rsid w:val="00192010"/>
    <w:rsid w:val="00192E05"/>
    <w:rsid w:val="001A0CA5"/>
    <w:rsid w:val="001A1414"/>
    <w:rsid w:val="001A6D1D"/>
    <w:rsid w:val="001B05BF"/>
    <w:rsid w:val="001C0111"/>
    <w:rsid w:val="001D13B2"/>
    <w:rsid w:val="001D1D42"/>
    <w:rsid w:val="001E5B6C"/>
    <w:rsid w:val="001F0994"/>
    <w:rsid w:val="002058AF"/>
    <w:rsid w:val="00212409"/>
    <w:rsid w:val="00213932"/>
    <w:rsid w:val="002222A8"/>
    <w:rsid w:val="00223F9D"/>
    <w:rsid w:val="002254C3"/>
    <w:rsid w:val="00227B8B"/>
    <w:rsid w:val="00230DF1"/>
    <w:rsid w:val="00241AD3"/>
    <w:rsid w:val="00243B55"/>
    <w:rsid w:val="00254EEC"/>
    <w:rsid w:val="0025579A"/>
    <w:rsid w:val="002610BE"/>
    <w:rsid w:val="002670AA"/>
    <w:rsid w:val="00272721"/>
    <w:rsid w:val="00276C63"/>
    <w:rsid w:val="00296CED"/>
    <w:rsid w:val="002A3E9C"/>
    <w:rsid w:val="002B0DE7"/>
    <w:rsid w:val="002B32C3"/>
    <w:rsid w:val="002B6776"/>
    <w:rsid w:val="002C6D39"/>
    <w:rsid w:val="002D6169"/>
    <w:rsid w:val="002D6A73"/>
    <w:rsid w:val="002D6B85"/>
    <w:rsid w:val="002E4314"/>
    <w:rsid w:val="002E5CA2"/>
    <w:rsid w:val="002E5D36"/>
    <w:rsid w:val="002F0530"/>
    <w:rsid w:val="0030023F"/>
    <w:rsid w:val="00301BBE"/>
    <w:rsid w:val="00301E35"/>
    <w:rsid w:val="00303D28"/>
    <w:rsid w:val="00305F9C"/>
    <w:rsid w:val="00306DC3"/>
    <w:rsid w:val="003107C8"/>
    <w:rsid w:val="0031086D"/>
    <w:rsid w:val="00316184"/>
    <w:rsid w:val="00321F18"/>
    <w:rsid w:val="00340C91"/>
    <w:rsid w:val="00341DC0"/>
    <w:rsid w:val="00342F25"/>
    <w:rsid w:val="00342FA5"/>
    <w:rsid w:val="00353008"/>
    <w:rsid w:val="00356F9D"/>
    <w:rsid w:val="00386B75"/>
    <w:rsid w:val="00386DEB"/>
    <w:rsid w:val="003B0539"/>
    <w:rsid w:val="003B165E"/>
    <w:rsid w:val="003B4D07"/>
    <w:rsid w:val="003B5C0A"/>
    <w:rsid w:val="003C3608"/>
    <w:rsid w:val="003D00DC"/>
    <w:rsid w:val="003D6935"/>
    <w:rsid w:val="003E5D6F"/>
    <w:rsid w:val="003F2BAA"/>
    <w:rsid w:val="00414783"/>
    <w:rsid w:val="00421B73"/>
    <w:rsid w:val="0042784C"/>
    <w:rsid w:val="004436CB"/>
    <w:rsid w:val="004456E7"/>
    <w:rsid w:val="004647E1"/>
    <w:rsid w:val="00466D61"/>
    <w:rsid w:val="00472B3B"/>
    <w:rsid w:val="004932BE"/>
    <w:rsid w:val="004A1B6B"/>
    <w:rsid w:val="004B51D6"/>
    <w:rsid w:val="004C1869"/>
    <w:rsid w:val="004C268A"/>
    <w:rsid w:val="004C68B2"/>
    <w:rsid w:val="004D0F26"/>
    <w:rsid w:val="004F3814"/>
    <w:rsid w:val="004F4EA5"/>
    <w:rsid w:val="00514968"/>
    <w:rsid w:val="0051735A"/>
    <w:rsid w:val="0053026F"/>
    <w:rsid w:val="0054107D"/>
    <w:rsid w:val="00542628"/>
    <w:rsid w:val="00544F11"/>
    <w:rsid w:val="00557F53"/>
    <w:rsid w:val="00567898"/>
    <w:rsid w:val="0057119D"/>
    <w:rsid w:val="0057610C"/>
    <w:rsid w:val="00582020"/>
    <w:rsid w:val="00582C95"/>
    <w:rsid w:val="005862AE"/>
    <w:rsid w:val="00593295"/>
    <w:rsid w:val="005969D7"/>
    <w:rsid w:val="005A14E0"/>
    <w:rsid w:val="005B056B"/>
    <w:rsid w:val="005C411A"/>
    <w:rsid w:val="005C6803"/>
    <w:rsid w:val="005E0ADB"/>
    <w:rsid w:val="005E4154"/>
    <w:rsid w:val="005E596F"/>
    <w:rsid w:val="005F16A6"/>
    <w:rsid w:val="005F182E"/>
    <w:rsid w:val="005F3FBC"/>
    <w:rsid w:val="006009A9"/>
    <w:rsid w:val="00610379"/>
    <w:rsid w:val="0061188A"/>
    <w:rsid w:val="00624A24"/>
    <w:rsid w:val="00631C6A"/>
    <w:rsid w:val="00635902"/>
    <w:rsid w:val="006441A3"/>
    <w:rsid w:val="006505D7"/>
    <w:rsid w:val="00651306"/>
    <w:rsid w:val="00652586"/>
    <w:rsid w:val="0065710F"/>
    <w:rsid w:val="006662F7"/>
    <w:rsid w:val="006755C8"/>
    <w:rsid w:val="00682967"/>
    <w:rsid w:val="00691931"/>
    <w:rsid w:val="00692D9C"/>
    <w:rsid w:val="006A207E"/>
    <w:rsid w:val="006A5670"/>
    <w:rsid w:val="006B095D"/>
    <w:rsid w:val="006B13B1"/>
    <w:rsid w:val="006B1CD3"/>
    <w:rsid w:val="006B3DDC"/>
    <w:rsid w:val="006C418F"/>
    <w:rsid w:val="006C726D"/>
    <w:rsid w:val="006E1B37"/>
    <w:rsid w:val="006E2EA1"/>
    <w:rsid w:val="006E4025"/>
    <w:rsid w:val="006E579C"/>
    <w:rsid w:val="006E65BE"/>
    <w:rsid w:val="006F3EC9"/>
    <w:rsid w:val="00706037"/>
    <w:rsid w:val="0072034B"/>
    <w:rsid w:val="0073017A"/>
    <w:rsid w:val="00741008"/>
    <w:rsid w:val="007459CD"/>
    <w:rsid w:val="007506C1"/>
    <w:rsid w:val="0075159F"/>
    <w:rsid w:val="00752EF6"/>
    <w:rsid w:val="00755001"/>
    <w:rsid w:val="00755CB4"/>
    <w:rsid w:val="00761547"/>
    <w:rsid w:val="00762AE6"/>
    <w:rsid w:val="00764C20"/>
    <w:rsid w:val="00766A14"/>
    <w:rsid w:val="0077232B"/>
    <w:rsid w:val="0077413E"/>
    <w:rsid w:val="007750C3"/>
    <w:rsid w:val="00777938"/>
    <w:rsid w:val="00777D08"/>
    <w:rsid w:val="00784F2E"/>
    <w:rsid w:val="007919FB"/>
    <w:rsid w:val="007A1E7C"/>
    <w:rsid w:val="007A5320"/>
    <w:rsid w:val="007A751F"/>
    <w:rsid w:val="007C138D"/>
    <w:rsid w:val="007C50B7"/>
    <w:rsid w:val="007D1B71"/>
    <w:rsid w:val="007D3694"/>
    <w:rsid w:val="007E0327"/>
    <w:rsid w:val="007E0982"/>
    <w:rsid w:val="00812982"/>
    <w:rsid w:val="0085340F"/>
    <w:rsid w:val="00857175"/>
    <w:rsid w:val="00863CFF"/>
    <w:rsid w:val="00882FF8"/>
    <w:rsid w:val="008862E4"/>
    <w:rsid w:val="00890101"/>
    <w:rsid w:val="0089067A"/>
    <w:rsid w:val="008A36F1"/>
    <w:rsid w:val="008A710A"/>
    <w:rsid w:val="008A7BA9"/>
    <w:rsid w:val="008B4518"/>
    <w:rsid w:val="008B5D78"/>
    <w:rsid w:val="008B773C"/>
    <w:rsid w:val="008B7911"/>
    <w:rsid w:val="008C1D15"/>
    <w:rsid w:val="008C783D"/>
    <w:rsid w:val="008D0490"/>
    <w:rsid w:val="008D3DDF"/>
    <w:rsid w:val="008D7ADA"/>
    <w:rsid w:val="00914106"/>
    <w:rsid w:val="009163AC"/>
    <w:rsid w:val="00917008"/>
    <w:rsid w:val="00940849"/>
    <w:rsid w:val="009446DC"/>
    <w:rsid w:val="0095728C"/>
    <w:rsid w:val="00961719"/>
    <w:rsid w:val="009673FC"/>
    <w:rsid w:val="00975CDF"/>
    <w:rsid w:val="009775C8"/>
    <w:rsid w:val="00983CB0"/>
    <w:rsid w:val="00987BEF"/>
    <w:rsid w:val="009906BD"/>
    <w:rsid w:val="0099347E"/>
    <w:rsid w:val="00993929"/>
    <w:rsid w:val="00993A0F"/>
    <w:rsid w:val="009A405C"/>
    <w:rsid w:val="009B2891"/>
    <w:rsid w:val="009B5C9F"/>
    <w:rsid w:val="009C047E"/>
    <w:rsid w:val="009C0771"/>
    <w:rsid w:val="009C2585"/>
    <w:rsid w:val="009D0A2F"/>
    <w:rsid w:val="009D3776"/>
    <w:rsid w:val="009D40A0"/>
    <w:rsid w:val="009F62EC"/>
    <w:rsid w:val="00A002AE"/>
    <w:rsid w:val="00A10DE2"/>
    <w:rsid w:val="00A14FE5"/>
    <w:rsid w:val="00A1625F"/>
    <w:rsid w:val="00A24FB1"/>
    <w:rsid w:val="00A25204"/>
    <w:rsid w:val="00A33B03"/>
    <w:rsid w:val="00A423F9"/>
    <w:rsid w:val="00A46236"/>
    <w:rsid w:val="00A52B4D"/>
    <w:rsid w:val="00A62373"/>
    <w:rsid w:val="00A72DA5"/>
    <w:rsid w:val="00A74499"/>
    <w:rsid w:val="00A779B6"/>
    <w:rsid w:val="00A92CDE"/>
    <w:rsid w:val="00AB3F23"/>
    <w:rsid w:val="00AC7DF4"/>
    <w:rsid w:val="00AD7A5A"/>
    <w:rsid w:val="00AF0499"/>
    <w:rsid w:val="00AF1CE2"/>
    <w:rsid w:val="00B07773"/>
    <w:rsid w:val="00B139CE"/>
    <w:rsid w:val="00B207F6"/>
    <w:rsid w:val="00B275C4"/>
    <w:rsid w:val="00B43D17"/>
    <w:rsid w:val="00B46111"/>
    <w:rsid w:val="00B66ED0"/>
    <w:rsid w:val="00B7176A"/>
    <w:rsid w:val="00B74B50"/>
    <w:rsid w:val="00B80E21"/>
    <w:rsid w:val="00B833C4"/>
    <w:rsid w:val="00B84836"/>
    <w:rsid w:val="00B85060"/>
    <w:rsid w:val="00B90D72"/>
    <w:rsid w:val="00B9413F"/>
    <w:rsid w:val="00BA5F31"/>
    <w:rsid w:val="00BA74CB"/>
    <w:rsid w:val="00BC21CB"/>
    <w:rsid w:val="00BC504C"/>
    <w:rsid w:val="00BC6C6F"/>
    <w:rsid w:val="00BC7527"/>
    <w:rsid w:val="00BE0109"/>
    <w:rsid w:val="00C0618B"/>
    <w:rsid w:val="00C14A04"/>
    <w:rsid w:val="00C20498"/>
    <w:rsid w:val="00C34B19"/>
    <w:rsid w:val="00C4087C"/>
    <w:rsid w:val="00C43431"/>
    <w:rsid w:val="00C5027D"/>
    <w:rsid w:val="00C666C7"/>
    <w:rsid w:val="00C72F51"/>
    <w:rsid w:val="00C7444E"/>
    <w:rsid w:val="00C83FFB"/>
    <w:rsid w:val="00C87DC3"/>
    <w:rsid w:val="00C92665"/>
    <w:rsid w:val="00CB266F"/>
    <w:rsid w:val="00CB4B9B"/>
    <w:rsid w:val="00CC3848"/>
    <w:rsid w:val="00CD5017"/>
    <w:rsid w:val="00CD7715"/>
    <w:rsid w:val="00CE4FBA"/>
    <w:rsid w:val="00CE5559"/>
    <w:rsid w:val="00CE6FB4"/>
    <w:rsid w:val="00D0443D"/>
    <w:rsid w:val="00D067A0"/>
    <w:rsid w:val="00D14619"/>
    <w:rsid w:val="00D167C2"/>
    <w:rsid w:val="00D16D35"/>
    <w:rsid w:val="00D21976"/>
    <w:rsid w:val="00D34FD0"/>
    <w:rsid w:val="00D35DC8"/>
    <w:rsid w:val="00D41072"/>
    <w:rsid w:val="00D44223"/>
    <w:rsid w:val="00D50C23"/>
    <w:rsid w:val="00D51B96"/>
    <w:rsid w:val="00D53C98"/>
    <w:rsid w:val="00D556CB"/>
    <w:rsid w:val="00D622F0"/>
    <w:rsid w:val="00D6346B"/>
    <w:rsid w:val="00D668AB"/>
    <w:rsid w:val="00D703C7"/>
    <w:rsid w:val="00D7211D"/>
    <w:rsid w:val="00D95EFF"/>
    <w:rsid w:val="00DA3664"/>
    <w:rsid w:val="00DA7B91"/>
    <w:rsid w:val="00DB24DF"/>
    <w:rsid w:val="00DB7CC9"/>
    <w:rsid w:val="00DC3274"/>
    <w:rsid w:val="00DD3068"/>
    <w:rsid w:val="00DE4232"/>
    <w:rsid w:val="00DE4660"/>
    <w:rsid w:val="00DF1E37"/>
    <w:rsid w:val="00DF2CCF"/>
    <w:rsid w:val="00E05CD0"/>
    <w:rsid w:val="00E13219"/>
    <w:rsid w:val="00E1743B"/>
    <w:rsid w:val="00E17B37"/>
    <w:rsid w:val="00E42B6C"/>
    <w:rsid w:val="00E572A3"/>
    <w:rsid w:val="00E6043C"/>
    <w:rsid w:val="00E61026"/>
    <w:rsid w:val="00E639AC"/>
    <w:rsid w:val="00E64009"/>
    <w:rsid w:val="00E640E9"/>
    <w:rsid w:val="00E66B8B"/>
    <w:rsid w:val="00E77946"/>
    <w:rsid w:val="00E87AB6"/>
    <w:rsid w:val="00E91320"/>
    <w:rsid w:val="00E9248B"/>
    <w:rsid w:val="00E945F8"/>
    <w:rsid w:val="00E96920"/>
    <w:rsid w:val="00E96960"/>
    <w:rsid w:val="00EA0423"/>
    <w:rsid w:val="00EB04BE"/>
    <w:rsid w:val="00EB544B"/>
    <w:rsid w:val="00EC0CFD"/>
    <w:rsid w:val="00ED07D8"/>
    <w:rsid w:val="00EE4331"/>
    <w:rsid w:val="00EF7B49"/>
    <w:rsid w:val="00F074EA"/>
    <w:rsid w:val="00F14E8E"/>
    <w:rsid w:val="00F2161E"/>
    <w:rsid w:val="00F330D9"/>
    <w:rsid w:val="00F33E54"/>
    <w:rsid w:val="00F415D2"/>
    <w:rsid w:val="00F44A63"/>
    <w:rsid w:val="00F46211"/>
    <w:rsid w:val="00F514FB"/>
    <w:rsid w:val="00F84225"/>
    <w:rsid w:val="00F904D8"/>
    <w:rsid w:val="00F94AC0"/>
    <w:rsid w:val="00FA0BB7"/>
    <w:rsid w:val="00FA1887"/>
    <w:rsid w:val="00FA60E1"/>
    <w:rsid w:val="00FA73F9"/>
    <w:rsid w:val="00FB32C7"/>
    <w:rsid w:val="00FB6DDC"/>
    <w:rsid w:val="00FE4A34"/>
    <w:rsid w:val="00FF0D7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76"/>
    <w:rPr>
      <w:lang w:val="en-GB"/>
    </w:rPr>
  </w:style>
  <w:style w:type="paragraph" w:styleId="Naslov1">
    <w:name w:val="heading 1"/>
    <w:basedOn w:val="Normal"/>
    <w:next w:val="Normal"/>
    <w:link w:val="Naslov1Char"/>
    <w:uiPriority w:val="9"/>
    <w:qFormat/>
    <w:rsid w:val="006E4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9D3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D3776"/>
    <w:rPr>
      <w:rFonts w:asciiTheme="majorHAnsi" w:eastAsiaTheme="majorEastAsia" w:hAnsiTheme="majorHAnsi" w:cstheme="majorBidi"/>
      <w:b/>
      <w:bCs/>
      <w:color w:val="4F81BD" w:themeColor="accent1"/>
      <w:sz w:val="26"/>
      <w:szCs w:val="26"/>
      <w:lang w:val="en-GB"/>
    </w:rPr>
  </w:style>
  <w:style w:type="paragraph" w:styleId="Tekstbalonia">
    <w:name w:val="Balloon Text"/>
    <w:basedOn w:val="Normal"/>
    <w:link w:val="TekstbaloniaChar"/>
    <w:uiPriority w:val="99"/>
    <w:semiHidden/>
    <w:unhideWhenUsed/>
    <w:rsid w:val="009D37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776"/>
    <w:rPr>
      <w:rFonts w:ascii="Tahoma" w:hAnsi="Tahoma" w:cs="Tahoma"/>
      <w:sz w:val="16"/>
      <w:szCs w:val="16"/>
      <w:lang w:val="en-GB"/>
    </w:rPr>
  </w:style>
  <w:style w:type="paragraph" w:styleId="Tekstfusnote">
    <w:name w:val="footnote text"/>
    <w:basedOn w:val="Normal"/>
    <w:link w:val="TekstfusnoteChar"/>
    <w:uiPriority w:val="99"/>
    <w:semiHidden/>
    <w:unhideWhenUsed/>
    <w:rsid w:val="009D0A2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D0A2F"/>
    <w:rPr>
      <w:sz w:val="20"/>
      <w:szCs w:val="20"/>
      <w:lang w:val="en-GB"/>
    </w:rPr>
  </w:style>
  <w:style w:type="character" w:styleId="Referencafusnote">
    <w:name w:val="footnote reference"/>
    <w:basedOn w:val="Zadanifontodlomka"/>
    <w:uiPriority w:val="99"/>
    <w:semiHidden/>
    <w:unhideWhenUsed/>
    <w:rsid w:val="009D0A2F"/>
    <w:rPr>
      <w:vertAlign w:val="superscript"/>
    </w:rPr>
  </w:style>
  <w:style w:type="paragraph" w:styleId="Tekstkrajnjebiljeke">
    <w:name w:val="endnote text"/>
    <w:basedOn w:val="Normal"/>
    <w:link w:val="TekstkrajnjebiljekeChar"/>
    <w:uiPriority w:val="99"/>
    <w:semiHidden/>
    <w:unhideWhenUsed/>
    <w:rsid w:val="001B05B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B05BF"/>
    <w:rPr>
      <w:sz w:val="20"/>
      <w:szCs w:val="20"/>
      <w:lang w:val="en-GB"/>
    </w:rPr>
  </w:style>
  <w:style w:type="character" w:styleId="Referencakrajnjebiljeke">
    <w:name w:val="endnote reference"/>
    <w:basedOn w:val="Zadanifontodlomka"/>
    <w:uiPriority w:val="99"/>
    <w:semiHidden/>
    <w:unhideWhenUsed/>
    <w:rsid w:val="001B05BF"/>
    <w:rPr>
      <w:vertAlign w:val="superscript"/>
    </w:rPr>
  </w:style>
  <w:style w:type="character" w:styleId="Referencakomentara">
    <w:name w:val="annotation reference"/>
    <w:basedOn w:val="Zadanifontodlomka"/>
    <w:uiPriority w:val="99"/>
    <w:semiHidden/>
    <w:unhideWhenUsed/>
    <w:rsid w:val="001B05BF"/>
    <w:rPr>
      <w:sz w:val="16"/>
      <w:szCs w:val="16"/>
    </w:rPr>
  </w:style>
  <w:style w:type="paragraph" w:styleId="Tekstkomentara">
    <w:name w:val="annotation text"/>
    <w:basedOn w:val="Normal"/>
    <w:link w:val="TekstkomentaraChar"/>
    <w:uiPriority w:val="99"/>
    <w:unhideWhenUsed/>
    <w:rsid w:val="001B05BF"/>
    <w:pPr>
      <w:spacing w:line="240" w:lineRule="auto"/>
    </w:pPr>
    <w:rPr>
      <w:sz w:val="20"/>
      <w:szCs w:val="20"/>
    </w:rPr>
  </w:style>
  <w:style w:type="character" w:customStyle="1" w:styleId="TekstkomentaraChar">
    <w:name w:val="Tekst komentara Char"/>
    <w:basedOn w:val="Zadanifontodlomka"/>
    <w:link w:val="Tekstkomentara"/>
    <w:uiPriority w:val="99"/>
    <w:rsid w:val="001B05BF"/>
    <w:rPr>
      <w:sz w:val="20"/>
      <w:szCs w:val="20"/>
      <w:lang w:val="en-GB"/>
    </w:rPr>
  </w:style>
  <w:style w:type="paragraph" w:styleId="Predmetkomentara">
    <w:name w:val="annotation subject"/>
    <w:basedOn w:val="Tekstkomentara"/>
    <w:next w:val="Tekstkomentara"/>
    <w:link w:val="PredmetkomentaraChar"/>
    <w:uiPriority w:val="99"/>
    <w:semiHidden/>
    <w:unhideWhenUsed/>
    <w:rsid w:val="001B05BF"/>
    <w:rPr>
      <w:b/>
      <w:bCs/>
    </w:rPr>
  </w:style>
  <w:style w:type="character" w:customStyle="1" w:styleId="PredmetkomentaraChar">
    <w:name w:val="Predmet komentara Char"/>
    <w:basedOn w:val="TekstkomentaraChar"/>
    <w:link w:val="Predmetkomentara"/>
    <w:uiPriority w:val="99"/>
    <w:semiHidden/>
    <w:rsid w:val="001B05BF"/>
    <w:rPr>
      <w:b/>
      <w:bCs/>
      <w:sz w:val="20"/>
      <w:szCs w:val="20"/>
      <w:lang w:val="en-GB"/>
    </w:rPr>
  </w:style>
  <w:style w:type="character" w:customStyle="1" w:styleId="Naslov1Char">
    <w:name w:val="Naslov 1 Char"/>
    <w:basedOn w:val="Zadanifontodlomka"/>
    <w:link w:val="Naslov1"/>
    <w:uiPriority w:val="9"/>
    <w:rsid w:val="006E4025"/>
    <w:rPr>
      <w:rFonts w:asciiTheme="majorHAnsi" w:eastAsiaTheme="majorEastAsia" w:hAnsiTheme="majorHAnsi" w:cstheme="majorBidi"/>
      <w:color w:val="365F91" w:themeColor="accent1" w:themeShade="BF"/>
      <w:sz w:val="32"/>
      <w:szCs w:val="32"/>
      <w:lang w:val="en-GB"/>
    </w:rPr>
  </w:style>
  <w:style w:type="character" w:styleId="Naglaeno">
    <w:name w:val="Strong"/>
    <w:basedOn w:val="Zadanifontodlomka"/>
    <w:uiPriority w:val="22"/>
    <w:qFormat/>
    <w:rsid w:val="002B32C3"/>
    <w:rPr>
      <w:b/>
      <w:bCs/>
    </w:rPr>
  </w:style>
  <w:style w:type="paragraph" w:styleId="Opisslike">
    <w:name w:val="caption"/>
    <w:basedOn w:val="Normal"/>
    <w:next w:val="Normal"/>
    <w:uiPriority w:val="35"/>
    <w:unhideWhenUsed/>
    <w:qFormat/>
    <w:rsid w:val="004C268A"/>
    <w:pPr>
      <w:spacing w:line="240" w:lineRule="auto"/>
    </w:pPr>
    <w:rPr>
      <w:i/>
      <w:iCs/>
      <w:color w:val="1F497D" w:themeColor="text2"/>
      <w:sz w:val="18"/>
      <w:szCs w:val="18"/>
    </w:rPr>
  </w:style>
  <w:style w:type="paragraph" w:styleId="Zaglavlje">
    <w:name w:val="header"/>
    <w:basedOn w:val="Normal"/>
    <w:link w:val="ZaglavljeChar"/>
    <w:uiPriority w:val="99"/>
    <w:unhideWhenUsed/>
    <w:rsid w:val="00F415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15D2"/>
    <w:rPr>
      <w:lang w:val="en-GB"/>
    </w:rPr>
  </w:style>
  <w:style w:type="paragraph" w:styleId="Podnoje">
    <w:name w:val="footer"/>
    <w:basedOn w:val="Normal"/>
    <w:link w:val="PodnojeChar"/>
    <w:uiPriority w:val="99"/>
    <w:unhideWhenUsed/>
    <w:rsid w:val="00F415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15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76"/>
    <w:rPr>
      <w:lang w:val="en-GB"/>
    </w:rPr>
  </w:style>
  <w:style w:type="paragraph" w:styleId="Naslov1">
    <w:name w:val="heading 1"/>
    <w:basedOn w:val="Normal"/>
    <w:next w:val="Normal"/>
    <w:link w:val="Naslov1Char"/>
    <w:uiPriority w:val="9"/>
    <w:qFormat/>
    <w:rsid w:val="006E4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9D3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D3776"/>
    <w:rPr>
      <w:rFonts w:asciiTheme="majorHAnsi" w:eastAsiaTheme="majorEastAsia" w:hAnsiTheme="majorHAnsi" w:cstheme="majorBidi"/>
      <w:b/>
      <w:bCs/>
      <w:color w:val="4F81BD" w:themeColor="accent1"/>
      <w:sz w:val="26"/>
      <w:szCs w:val="26"/>
      <w:lang w:val="en-GB"/>
    </w:rPr>
  </w:style>
  <w:style w:type="paragraph" w:styleId="Tekstbalonia">
    <w:name w:val="Balloon Text"/>
    <w:basedOn w:val="Normal"/>
    <w:link w:val="TekstbaloniaChar"/>
    <w:uiPriority w:val="99"/>
    <w:semiHidden/>
    <w:unhideWhenUsed/>
    <w:rsid w:val="009D37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776"/>
    <w:rPr>
      <w:rFonts w:ascii="Tahoma" w:hAnsi="Tahoma" w:cs="Tahoma"/>
      <w:sz w:val="16"/>
      <w:szCs w:val="16"/>
      <w:lang w:val="en-GB"/>
    </w:rPr>
  </w:style>
  <w:style w:type="paragraph" w:styleId="Tekstfusnote">
    <w:name w:val="footnote text"/>
    <w:basedOn w:val="Normal"/>
    <w:link w:val="TekstfusnoteChar"/>
    <w:uiPriority w:val="99"/>
    <w:semiHidden/>
    <w:unhideWhenUsed/>
    <w:rsid w:val="009D0A2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D0A2F"/>
    <w:rPr>
      <w:sz w:val="20"/>
      <w:szCs w:val="20"/>
      <w:lang w:val="en-GB"/>
    </w:rPr>
  </w:style>
  <w:style w:type="character" w:styleId="Referencafusnote">
    <w:name w:val="footnote reference"/>
    <w:basedOn w:val="Zadanifontodlomka"/>
    <w:uiPriority w:val="99"/>
    <w:semiHidden/>
    <w:unhideWhenUsed/>
    <w:rsid w:val="009D0A2F"/>
    <w:rPr>
      <w:vertAlign w:val="superscript"/>
    </w:rPr>
  </w:style>
  <w:style w:type="paragraph" w:styleId="Tekstkrajnjebiljeke">
    <w:name w:val="endnote text"/>
    <w:basedOn w:val="Normal"/>
    <w:link w:val="TekstkrajnjebiljekeChar"/>
    <w:uiPriority w:val="99"/>
    <w:semiHidden/>
    <w:unhideWhenUsed/>
    <w:rsid w:val="001B05B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B05BF"/>
    <w:rPr>
      <w:sz w:val="20"/>
      <w:szCs w:val="20"/>
      <w:lang w:val="en-GB"/>
    </w:rPr>
  </w:style>
  <w:style w:type="character" w:styleId="Referencakrajnjebiljeke">
    <w:name w:val="endnote reference"/>
    <w:basedOn w:val="Zadanifontodlomka"/>
    <w:uiPriority w:val="99"/>
    <w:semiHidden/>
    <w:unhideWhenUsed/>
    <w:rsid w:val="001B05BF"/>
    <w:rPr>
      <w:vertAlign w:val="superscript"/>
    </w:rPr>
  </w:style>
  <w:style w:type="character" w:styleId="Referencakomentara">
    <w:name w:val="annotation reference"/>
    <w:basedOn w:val="Zadanifontodlomka"/>
    <w:uiPriority w:val="99"/>
    <w:semiHidden/>
    <w:unhideWhenUsed/>
    <w:rsid w:val="001B05BF"/>
    <w:rPr>
      <w:sz w:val="16"/>
      <w:szCs w:val="16"/>
    </w:rPr>
  </w:style>
  <w:style w:type="paragraph" w:styleId="Tekstkomentara">
    <w:name w:val="annotation text"/>
    <w:basedOn w:val="Normal"/>
    <w:link w:val="TekstkomentaraChar"/>
    <w:uiPriority w:val="99"/>
    <w:unhideWhenUsed/>
    <w:rsid w:val="001B05BF"/>
    <w:pPr>
      <w:spacing w:line="240" w:lineRule="auto"/>
    </w:pPr>
    <w:rPr>
      <w:sz w:val="20"/>
      <w:szCs w:val="20"/>
    </w:rPr>
  </w:style>
  <w:style w:type="character" w:customStyle="1" w:styleId="TekstkomentaraChar">
    <w:name w:val="Tekst komentara Char"/>
    <w:basedOn w:val="Zadanifontodlomka"/>
    <w:link w:val="Tekstkomentara"/>
    <w:uiPriority w:val="99"/>
    <w:rsid w:val="001B05BF"/>
    <w:rPr>
      <w:sz w:val="20"/>
      <w:szCs w:val="20"/>
      <w:lang w:val="en-GB"/>
    </w:rPr>
  </w:style>
  <w:style w:type="paragraph" w:styleId="Predmetkomentara">
    <w:name w:val="annotation subject"/>
    <w:basedOn w:val="Tekstkomentara"/>
    <w:next w:val="Tekstkomentara"/>
    <w:link w:val="PredmetkomentaraChar"/>
    <w:uiPriority w:val="99"/>
    <w:semiHidden/>
    <w:unhideWhenUsed/>
    <w:rsid w:val="001B05BF"/>
    <w:rPr>
      <w:b/>
      <w:bCs/>
    </w:rPr>
  </w:style>
  <w:style w:type="character" w:customStyle="1" w:styleId="PredmetkomentaraChar">
    <w:name w:val="Predmet komentara Char"/>
    <w:basedOn w:val="TekstkomentaraChar"/>
    <w:link w:val="Predmetkomentara"/>
    <w:uiPriority w:val="99"/>
    <w:semiHidden/>
    <w:rsid w:val="001B05BF"/>
    <w:rPr>
      <w:b/>
      <w:bCs/>
      <w:sz w:val="20"/>
      <w:szCs w:val="20"/>
      <w:lang w:val="en-GB"/>
    </w:rPr>
  </w:style>
  <w:style w:type="character" w:customStyle="1" w:styleId="Naslov1Char">
    <w:name w:val="Naslov 1 Char"/>
    <w:basedOn w:val="Zadanifontodlomka"/>
    <w:link w:val="Naslov1"/>
    <w:uiPriority w:val="9"/>
    <w:rsid w:val="006E4025"/>
    <w:rPr>
      <w:rFonts w:asciiTheme="majorHAnsi" w:eastAsiaTheme="majorEastAsia" w:hAnsiTheme="majorHAnsi" w:cstheme="majorBidi"/>
      <w:color w:val="365F91" w:themeColor="accent1" w:themeShade="BF"/>
      <w:sz w:val="32"/>
      <w:szCs w:val="32"/>
      <w:lang w:val="en-GB"/>
    </w:rPr>
  </w:style>
  <w:style w:type="character" w:styleId="Naglaeno">
    <w:name w:val="Strong"/>
    <w:basedOn w:val="Zadanifontodlomka"/>
    <w:uiPriority w:val="22"/>
    <w:qFormat/>
    <w:rsid w:val="002B32C3"/>
    <w:rPr>
      <w:b/>
      <w:bCs/>
    </w:rPr>
  </w:style>
  <w:style w:type="paragraph" w:styleId="Opisslike">
    <w:name w:val="caption"/>
    <w:basedOn w:val="Normal"/>
    <w:next w:val="Normal"/>
    <w:uiPriority w:val="35"/>
    <w:unhideWhenUsed/>
    <w:qFormat/>
    <w:rsid w:val="004C268A"/>
    <w:pPr>
      <w:spacing w:line="240" w:lineRule="auto"/>
    </w:pPr>
    <w:rPr>
      <w:i/>
      <w:iCs/>
      <w:color w:val="1F497D" w:themeColor="text2"/>
      <w:sz w:val="18"/>
      <w:szCs w:val="18"/>
    </w:rPr>
  </w:style>
  <w:style w:type="paragraph" w:styleId="Zaglavlje">
    <w:name w:val="header"/>
    <w:basedOn w:val="Normal"/>
    <w:link w:val="ZaglavljeChar"/>
    <w:uiPriority w:val="99"/>
    <w:unhideWhenUsed/>
    <w:rsid w:val="00F415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15D2"/>
    <w:rPr>
      <w:lang w:val="en-GB"/>
    </w:rPr>
  </w:style>
  <w:style w:type="paragraph" w:styleId="Podnoje">
    <w:name w:val="footer"/>
    <w:basedOn w:val="Normal"/>
    <w:link w:val="PodnojeChar"/>
    <w:uiPriority w:val="99"/>
    <w:unhideWhenUsed/>
    <w:rsid w:val="00F415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15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FF23-1815-4BFF-8B57-334636BD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1134</Words>
  <Characters>6470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Huzjak</dc:creator>
  <cp:lastModifiedBy>mfkor</cp:lastModifiedBy>
  <cp:revision>67</cp:revision>
  <cp:lastPrinted>2019-04-30T11:27:00Z</cp:lastPrinted>
  <dcterms:created xsi:type="dcterms:W3CDTF">2020-04-28T23:26:00Z</dcterms:created>
  <dcterms:modified xsi:type="dcterms:W3CDTF">2020-05-05T12:20:00Z</dcterms:modified>
</cp:coreProperties>
</file>